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0701" w14:textId="7948C8EA" w:rsidR="000252B8" w:rsidRDefault="00D010C4" w:rsidP="00D010C4">
      <w:pPr>
        <w:pStyle w:val="Heading1"/>
        <w:rPr>
          <w:rFonts w:asciiTheme="minorHAnsi" w:hAnsiTheme="minorHAnsi" w:cstheme="minorHAnsi"/>
          <w:sz w:val="22"/>
          <w:szCs w:val="22"/>
        </w:rPr>
      </w:pPr>
      <w:r w:rsidRPr="002B6724">
        <w:rPr>
          <w:rFonts w:asciiTheme="minorHAnsi" w:hAnsiTheme="minorHAnsi" w:cstheme="minorHAnsi"/>
          <w:sz w:val="22"/>
          <w:szCs w:val="22"/>
        </w:rPr>
        <w:t xml:space="preserve">Survey: </w:t>
      </w:r>
      <w:r w:rsidR="000252B8" w:rsidRPr="002B6724">
        <w:rPr>
          <w:rFonts w:asciiTheme="minorHAnsi" w:hAnsiTheme="minorHAnsi" w:cstheme="minorHAnsi"/>
          <w:sz w:val="22"/>
          <w:szCs w:val="22"/>
        </w:rPr>
        <w:t>2021 - 2025 PMNCH Strategy Development Survey Phase 2</w:t>
      </w:r>
    </w:p>
    <w:p w14:paraId="7850B60F" w14:textId="2C3703FE" w:rsidR="00593D4D" w:rsidRPr="00593D4D" w:rsidRDefault="00593D4D" w:rsidP="00593D4D">
      <w:pPr>
        <w:pStyle w:val="Heading1"/>
        <w:rPr>
          <w:rFonts w:asciiTheme="minorHAnsi" w:hAnsiTheme="minorHAnsi" w:cstheme="minorHAnsi"/>
          <w:sz w:val="22"/>
          <w:szCs w:val="22"/>
        </w:rPr>
      </w:pPr>
      <w:r w:rsidRPr="00593D4D">
        <w:rPr>
          <w:rFonts w:asciiTheme="minorHAnsi" w:hAnsiTheme="minorHAnsi" w:cstheme="minorHAnsi"/>
          <w:sz w:val="22"/>
          <w:szCs w:val="22"/>
        </w:rPr>
        <w:t>Suggested responses</w:t>
      </w:r>
      <w:r w:rsidR="00545369">
        <w:rPr>
          <w:rFonts w:asciiTheme="minorHAnsi" w:hAnsiTheme="minorHAnsi" w:cstheme="minorHAnsi"/>
          <w:sz w:val="22"/>
          <w:szCs w:val="22"/>
        </w:rPr>
        <w:t xml:space="preserve"> for stillbirth-focused organizations</w:t>
      </w:r>
    </w:p>
    <w:p w14:paraId="0E56A2CF" w14:textId="77777777" w:rsidR="000252B8" w:rsidRPr="002B6724" w:rsidRDefault="000252B8" w:rsidP="000252B8">
      <w:pPr>
        <w:pStyle w:val="NoSpacing"/>
        <w:rPr>
          <w:rFonts w:cstheme="minorHAnsi"/>
        </w:rPr>
      </w:pPr>
    </w:p>
    <w:p w14:paraId="2CB092FA" w14:textId="77777777"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1. Which constituency are you a member of ? (tick all that apply)</w:t>
      </w:r>
    </w:p>
    <w:p w14:paraId="0D034801" w14:textId="77777777" w:rsidR="000252B8" w:rsidRPr="002B6724" w:rsidRDefault="000252B8" w:rsidP="000252B8">
      <w:pPr>
        <w:pStyle w:val="NoSpacing"/>
        <w:rPr>
          <w:rFonts w:cstheme="minorHAnsi"/>
        </w:rPr>
      </w:pPr>
    </w:p>
    <w:p w14:paraId="51EE1745" w14:textId="77777777" w:rsidR="000252B8" w:rsidRPr="002B6724" w:rsidRDefault="000252B8" w:rsidP="000252B8">
      <w:pPr>
        <w:pStyle w:val="NoSpacing"/>
        <w:rPr>
          <w:rFonts w:cstheme="minorHAnsi"/>
        </w:rPr>
      </w:pPr>
      <w:r w:rsidRPr="002B6724">
        <w:rPr>
          <w:rFonts w:cstheme="minorHAnsi"/>
        </w:rPr>
        <w:t>Adolescents and Youth (A &amp; Y)</w:t>
      </w:r>
    </w:p>
    <w:p w14:paraId="2623066A" w14:textId="77777777" w:rsidR="000252B8" w:rsidRPr="002B6724" w:rsidRDefault="000252B8" w:rsidP="000252B8">
      <w:pPr>
        <w:pStyle w:val="NoSpacing"/>
        <w:rPr>
          <w:rFonts w:cstheme="minorHAnsi"/>
        </w:rPr>
      </w:pPr>
      <w:r w:rsidRPr="002B6724">
        <w:rPr>
          <w:rFonts w:cstheme="minorHAnsi"/>
        </w:rPr>
        <w:t>Academic Research and Training (ART)</w:t>
      </w:r>
    </w:p>
    <w:p w14:paraId="7C71EBC1" w14:textId="77777777" w:rsidR="000252B8" w:rsidRPr="002B6724" w:rsidRDefault="000252B8" w:rsidP="000252B8">
      <w:pPr>
        <w:pStyle w:val="NoSpacing"/>
        <w:rPr>
          <w:rFonts w:cstheme="minorHAnsi"/>
        </w:rPr>
      </w:pPr>
      <w:r w:rsidRPr="002B6724">
        <w:rPr>
          <w:rFonts w:cstheme="minorHAnsi"/>
        </w:rPr>
        <w:t>Donors and Foundations (D &amp; F)</w:t>
      </w:r>
    </w:p>
    <w:p w14:paraId="5771926A" w14:textId="77777777" w:rsidR="000252B8" w:rsidRPr="002B6724" w:rsidRDefault="000252B8" w:rsidP="000252B8">
      <w:pPr>
        <w:pStyle w:val="NoSpacing"/>
        <w:rPr>
          <w:rFonts w:cstheme="minorHAnsi"/>
        </w:rPr>
      </w:pPr>
      <w:r w:rsidRPr="002B6724">
        <w:rPr>
          <w:rFonts w:cstheme="minorHAnsi"/>
        </w:rPr>
        <w:t>Global Financing Mechanisms (GFM)</w:t>
      </w:r>
    </w:p>
    <w:p w14:paraId="2ACF0ED2" w14:textId="77777777" w:rsidR="000252B8" w:rsidRPr="002B6724" w:rsidRDefault="000252B8" w:rsidP="000252B8">
      <w:pPr>
        <w:pStyle w:val="NoSpacing"/>
        <w:rPr>
          <w:rFonts w:cstheme="minorHAnsi"/>
        </w:rPr>
      </w:pPr>
      <w:r w:rsidRPr="002B6724">
        <w:rPr>
          <w:rFonts w:cstheme="minorHAnsi"/>
        </w:rPr>
        <w:t>Health-Care Professional Associations (HCPA)</w:t>
      </w:r>
    </w:p>
    <w:p w14:paraId="770690C6" w14:textId="77777777" w:rsidR="000252B8" w:rsidRPr="002B6724" w:rsidRDefault="000252B8" w:rsidP="000252B8">
      <w:pPr>
        <w:pStyle w:val="NoSpacing"/>
        <w:rPr>
          <w:rFonts w:cstheme="minorHAnsi"/>
        </w:rPr>
      </w:pPr>
      <w:r w:rsidRPr="002B6724">
        <w:rPr>
          <w:rFonts w:cstheme="minorHAnsi"/>
        </w:rPr>
        <w:t xml:space="preserve">Intergovernmental </w:t>
      </w:r>
      <w:proofErr w:type="spellStart"/>
      <w:r w:rsidRPr="002B6724">
        <w:rPr>
          <w:rFonts w:cstheme="minorHAnsi"/>
        </w:rPr>
        <w:t>Organisations</w:t>
      </w:r>
      <w:proofErr w:type="spellEnd"/>
      <w:r w:rsidRPr="002B6724">
        <w:rPr>
          <w:rFonts w:cstheme="minorHAnsi"/>
        </w:rPr>
        <w:t xml:space="preserve"> (IGO)</w:t>
      </w:r>
    </w:p>
    <w:p w14:paraId="0A862234" w14:textId="77777777" w:rsidR="000252B8" w:rsidRPr="002B6724" w:rsidRDefault="000252B8" w:rsidP="000252B8">
      <w:pPr>
        <w:pStyle w:val="NoSpacing"/>
        <w:rPr>
          <w:rFonts w:cstheme="minorHAnsi"/>
        </w:rPr>
      </w:pPr>
      <w:r w:rsidRPr="002B6724">
        <w:rPr>
          <w:rFonts w:cstheme="minorHAnsi"/>
        </w:rPr>
        <w:t xml:space="preserve">Nongovernmental </w:t>
      </w:r>
      <w:proofErr w:type="spellStart"/>
      <w:r w:rsidRPr="002B6724">
        <w:rPr>
          <w:rFonts w:cstheme="minorHAnsi"/>
        </w:rPr>
        <w:t>Organisations</w:t>
      </w:r>
      <w:proofErr w:type="spellEnd"/>
      <w:r w:rsidRPr="002B6724">
        <w:rPr>
          <w:rFonts w:cstheme="minorHAnsi"/>
        </w:rPr>
        <w:t xml:space="preserve"> (NGO)</w:t>
      </w:r>
    </w:p>
    <w:p w14:paraId="26A26931" w14:textId="77777777" w:rsidR="000252B8" w:rsidRPr="002B6724" w:rsidRDefault="000252B8" w:rsidP="000252B8">
      <w:pPr>
        <w:pStyle w:val="NoSpacing"/>
        <w:rPr>
          <w:rFonts w:cstheme="minorHAnsi"/>
        </w:rPr>
      </w:pPr>
      <w:r w:rsidRPr="002B6724">
        <w:rPr>
          <w:rFonts w:cstheme="minorHAnsi"/>
        </w:rPr>
        <w:t>Partner Governments (PG)</w:t>
      </w:r>
    </w:p>
    <w:p w14:paraId="0021B8ED" w14:textId="77777777" w:rsidR="000252B8" w:rsidRPr="002B6724" w:rsidRDefault="000252B8" w:rsidP="000252B8">
      <w:pPr>
        <w:pStyle w:val="NoSpacing"/>
        <w:rPr>
          <w:rFonts w:cstheme="minorHAnsi"/>
        </w:rPr>
      </w:pPr>
      <w:r w:rsidRPr="002B6724">
        <w:rPr>
          <w:rFonts w:cstheme="minorHAnsi"/>
        </w:rPr>
        <w:t>Private Sector (PS)</w:t>
      </w:r>
    </w:p>
    <w:p w14:paraId="68A708A8" w14:textId="77777777" w:rsidR="000252B8" w:rsidRPr="002B6724" w:rsidRDefault="000252B8" w:rsidP="000252B8">
      <w:pPr>
        <w:pStyle w:val="NoSpacing"/>
        <w:rPr>
          <w:rFonts w:cstheme="minorHAnsi"/>
        </w:rPr>
      </w:pPr>
      <w:r w:rsidRPr="002B6724">
        <w:rPr>
          <w:rFonts w:cstheme="minorHAnsi"/>
        </w:rPr>
        <w:t>United Nations Agencies (UNA)</w:t>
      </w:r>
    </w:p>
    <w:p w14:paraId="11880BD5" w14:textId="77777777" w:rsidR="000252B8" w:rsidRPr="002B6724" w:rsidRDefault="000252B8" w:rsidP="000252B8">
      <w:pPr>
        <w:pStyle w:val="NoSpacing"/>
        <w:rPr>
          <w:rFonts w:cstheme="minorHAnsi"/>
        </w:rPr>
      </w:pPr>
      <w:r w:rsidRPr="002B6724">
        <w:rPr>
          <w:rFonts w:cstheme="minorHAnsi"/>
        </w:rPr>
        <w:t xml:space="preserve">I am not a member of any constituency </w:t>
      </w:r>
    </w:p>
    <w:p w14:paraId="047B9894" w14:textId="77777777" w:rsidR="000252B8" w:rsidRPr="002B6724" w:rsidRDefault="000252B8" w:rsidP="000252B8">
      <w:pPr>
        <w:pStyle w:val="NoSpacing"/>
        <w:rPr>
          <w:rFonts w:cstheme="minorHAnsi"/>
        </w:rPr>
      </w:pPr>
    </w:p>
    <w:p w14:paraId="14990C35" w14:textId="77777777"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2. How long have you been a member of PMNCH?</w:t>
      </w:r>
    </w:p>
    <w:p w14:paraId="4E7607B3" w14:textId="77777777" w:rsidR="000252B8" w:rsidRPr="002B6724" w:rsidRDefault="000252B8" w:rsidP="000252B8">
      <w:pPr>
        <w:pStyle w:val="NoSpacing"/>
        <w:rPr>
          <w:rFonts w:cstheme="minorHAnsi"/>
        </w:rPr>
      </w:pPr>
    </w:p>
    <w:p w14:paraId="21122B95" w14:textId="77777777" w:rsidR="000252B8" w:rsidRPr="002B6724" w:rsidRDefault="000252B8" w:rsidP="000252B8">
      <w:pPr>
        <w:pStyle w:val="NoSpacing"/>
        <w:rPr>
          <w:rFonts w:cstheme="minorHAnsi"/>
        </w:rPr>
      </w:pPr>
      <w:r w:rsidRPr="002B6724">
        <w:rPr>
          <w:rFonts w:cstheme="minorHAnsi"/>
        </w:rPr>
        <w:t xml:space="preserve">Less than 1 year </w:t>
      </w:r>
    </w:p>
    <w:p w14:paraId="1FE77A1D" w14:textId="77777777" w:rsidR="000252B8" w:rsidRPr="002B6724" w:rsidRDefault="000252B8" w:rsidP="000252B8">
      <w:pPr>
        <w:pStyle w:val="NoSpacing"/>
        <w:rPr>
          <w:rFonts w:cstheme="minorHAnsi"/>
        </w:rPr>
      </w:pPr>
      <w:r w:rsidRPr="002B6724">
        <w:rPr>
          <w:rFonts w:cstheme="minorHAnsi"/>
        </w:rPr>
        <w:t>1 year to 3 years</w:t>
      </w:r>
    </w:p>
    <w:p w14:paraId="7064446C" w14:textId="77777777" w:rsidR="000252B8" w:rsidRPr="002B6724" w:rsidRDefault="000252B8" w:rsidP="000252B8">
      <w:pPr>
        <w:pStyle w:val="NoSpacing"/>
        <w:rPr>
          <w:rFonts w:cstheme="minorHAnsi"/>
        </w:rPr>
      </w:pPr>
      <w:r w:rsidRPr="002B6724">
        <w:rPr>
          <w:rFonts w:cstheme="minorHAnsi"/>
        </w:rPr>
        <w:t xml:space="preserve">3 years to 5 years </w:t>
      </w:r>
    </w:p>
    <w:p w14:paraId="4909C3BE" w14:textId="77777777" w:rsidR="000252B8" w:rsidRPr="002B6724" w:rsidRDefault="000252B8" w:rsidP="000252B8">
      <w:pPr>
        <w:pStyle w:val="NoSpacing"/>
        <w:rPr>
          <w:rFonts w:cstheme="minorHAnsi"/>
        </w:rPr>
      </w:pPr>
      <w:r w:rsidRPr="002B6724">
        <w:rPr>
          <w:rFonts w:cstheme="minorHAnsi"/>
        </w:rPr>
        <w:t xml:space="preserve">5 years to 7 years </w:t>
      </w:r>
    </w:p>
    <w:p w14:paraId="28DAD3FB" w14:textId="77777777" w:rsidR="000252B8" w:rsidRPr="002B6724" w:rsidRDefault="000252B8" w:rsidP="000252B8">
      <w:pPr>
        <w:pStyle w:val="NoSpacing"/>
        <w:rPr>
          <w:rFonts w:cstheme="minorHAnsi"/>
        </w:rPr>
      </w:pPr>
      <w:r w:rsidRPr="002B6724">
        <w:rPr>
          <w:rFonts w:cstheme="minorHAnsi"/>
        </w:rPr>
        <w:t xml:space="preserve">7 years to 10 years </w:t>
      </w:r>
    </w:p>
    <w:p w14:paraId="065098A0" w14:textId="77777777" w:rsidR="000252B8" w:rsidRPr="002B6724" w:rsidRDefault="000252B8" w:rsidP="000252B8">
      <w:pPr>
        <w:pStyle w:val="NoSpacing"/>
        <w:rPr>
          <w:rFonts w:cstheme="minorHAnsi"/>
        </w:rPr>
      </w:pPr>
      <w:r w:rsidRPr="002B6724">
        <w:rPr>
          <w:rFonts w:cstheme="minorHAnsi"/>
        </w:rPr>
        <w:t xml:space="preserve">10 years + </w:t>
      </w:r>
    </w:p>
    <w:p w14:paraId="47F1879D" w14:textId="77777777" w:rsidR="000252B8" w:rsidRPr="002B6724" w:rsidRDefault="000252B8" w:rsidP="000252B8">
      <w:pPr>
        <w:pStyle w:val="NoSpacing"/>
        <w:rPr>
          <w:rFonts w:cstheme="minorHAnsi"/>
        </w:rPr>
      </w:pPr>
    </w:p>
    <w:p w14:paraId="17EC801C" w14:textId="77777777"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3. Section 1 - Context</w:t>
      </w:r>
    </w:p>
    <w:p w14:paraId="66FB5F20"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think that the global context has been described accurately?</w:t>
      </w:r>
    </w:p>
    <w:p w14:paraId="547D4E3A" w14:textId="77777777" w:rsidR="0067471A" w:rsidRPr="002B6724" w:rsidRDefault="0067471A" w:rsidP="000252B8">
      <w:pPr>
        <w:pStyle w:val="NoSpacing"/>
        <w:rPr>
          <w:rFonts w:cstheme="minorHAnsi"/>
        </w:rPr>
      </w:pPr>
    </w:p>
    <w:p w14:paraId="790B464B" w14:textId="77777777" w:rsidR="006D4AB5" w:rsidRDefault="00D010C4" w:rsidP="002B6724">
      <w:pPr>
        <w:spacing w:after="0" w:line="240" w:lineRule="auto"/>
        <w:rPr>
          <w:rFonts w:cstheme="minorHAnsi"/>
          <w:b/>
          <w:color w:val="C00000"/>
        </w:rPr>
      </w:pPr>
      <w:r w:rsidRPr="002B6724">
        <w:rPr>
          <w:rFonts w:cstheme="minorHAnsi"/>
          <w:b/>
          <w:color w:val="C00000"/>
        </w:rPr>
        <w:t xml:space="preserve">Response: </w:t>
      </w:r>
    </w:p>
    <w:p w14:paraId="06AEBD58" w14:textId="476B438D" w:rsidR="002B6724" w:rsidRPr="002B6724" w:rsidRDefault="00D010C4" w:rsidP="002B6724">
      <w:pPr>
        <w:spacing w:after="0" w:line="240" w:lineRule="auto"/>
        <w:rPr>
          <w:rFonts w:cstheme="minorHAnsi"/>
        </w:rPr>
      </w:pPr>
      <w:r w:rsidRPr="002B6724">
        <w:rPr>
          <w:rFonts w:cstheme="minorHAnsi"/>
        </w:rPr>
        <w:t xml:space="preserve">The global context should include the burden of stillbirths (in the box). </w:t>
      </w:r>
      <w:r w:rsidR="002B6724" w:rsidRPr="002B6724">
        <w:rPr>
          <w:rFonts w:cstheme="minorHAnsi"/>
        </w:rPr>
        <w:t>Also p</w:t>
      </w:r>
      <w:r w:rsidR="002B6724" w:rsidRPr="002B6724">
        <w:rPr>
          <w:rFonts w:cstheme="minorHAnsi"/>
        </w:rPr>
        <w:t>lease add a text box to the Introduction of the strategy stating that:</w:t>
      </w:r>
      <w:r w:rsidR="002B6724" w:rsidRPr="002B6724">
        <w:rPr>
          <w:rFonts w:cstheme="minorHAnsi"/>
        </w:rPr>
        <w:t xml:space="preserve"> </w:t>
      </w:r>
      <w:r w:rsidR="002B6724" w:rsidRPr="002B6724">
        <w:rPr>
          <w:rFonts w:cstheme="minorHAnsi"/>
        </w:rPr>
        <w:t>“PMNCH defines Women’s, Children’s and Adolescents’ Health (WCAH) to include Newborns and Stillbirths”.</w:t>
      </w:r>
      <w:r w:rsidR="002B6724" w:rsidRPr="002B6724">
        <w:rPr>
          <w:rFonts w:cstheme="minorHAnsi"/>
        </w:rPr>
        <w:t xml:space="preserve"> </w:t>
      </w:r>
      <w:r w:rsidR="002B6724" w:rsidRPr="002B6724">
        <w:rPr>
          <w:rFonts w:cstheme="minorHAnsi"/>
        </w:rPr>
        <w:t xml:space="preserve">Please </w:t>
      </w:r>
      <w:r w:rsidR="002B6724" w:rsidRPr="002B6724">
        <w:rPr>
          <w:rFonts w:cstheme="minorHAnsi"/>
        </w:rPr>
        <w:t xml:space="preserve">also </w:t>
      </w:r>
      <w:r w:rsidR="002B6724" w:rsidRPr="002B6724">
        <w:rPr>
          <w:rFonts w:cstheme="minorHAnsi"/>
        </w:rPr>
        <w:t>ensure that the burden of stillbirth is always mentioned along with maternal, newborn and child mortality throughout the document.</w:t>
      </w:r>
    </w:p>
    <w:p w14:paraId="6AD34AEE" w14:textId="46C57C75"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p>
    <w:p w14:paraId="308EE41F" w14:textId="605CE9A1"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4. Section 2 - PMNCH Value proposition</w:t>
      </w:r>
    </w:p>
    <w:p w14:paraId="74D23AD2"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that the strategy describes PMNCH’s core three-fold value proposition? (i.e. thematic focus; breadth of the Partnership; convening power)</w:t>
      </w:r>
    </w:p>
    <w:p w14:paraId="40278805" w14:textId="77777777" w:rsidR="0067471A" w:rsidRPr="002B6724" w:rsidRDefault="0067471A" w:rsidP="000252B8">
      <w:pPr>
        <w:pStyle w:val="NoSpacing"/>
        <w:rPr>
          <w:rFonts w:cstheme="minorHAnsi"/>
        </w:rPr>
      </w:pPr>
    </w:p>
    <w:p w14:paraId="240EDAAE" w14:textId="77777777" w:rsidR="006D4AB5" w:rsidRDefault="00D010C4" w:rsidP="000252B8">
      <w:pPr>
        <w:pStyle w:val="NoSpacing"/>
        <w:rPr>
          <w:rFonts w:cstheme="minorHAnsi"/>
          <w:b/>
          <w:color w:val="C00000"/>
        </w:rPr>
      </w:pPr>
      <w:r w:rsidRPr="002B6724">
        <w:rPr>
          <w:rFonts w:cstheme="minorHAnsi"/>
          <w:b/>
          <w:color w:val="C00000"/>
        </w:rPr>
        <w:t xml:space="preserve">Response: </w:t>
      </w:r>
    </w:p>
    <w:p w14:paraId="4799F9DD" w14:textId="4094B5CA" w:rsidR="00D010C4" w:rsidRPr="002B6724" w:rsidRDefault="00D010C4" w:rsidP="000252B8">
      <w:pPr>
        <w:pStyle w:val="NoSpacing"/>
        <w:rPr>
          <w:rFonts w:cstheme="minorHAnsi"/>
        </w:rPr>
      </w:pPr>
      <w:r w:rsidRPr="002B6724">
        <w:rPr>
          <w:rFonts w:cstheme="minorHAnsi"/>
        </w:rPr>
        <w:t>No comment</w:t>
      </w:r>
    </w:p>
    <w:p w14:paraId="79136926" w14:textId="77777777" w:rsidR="0067471A" w:rsidRPr="002B6724" w:rsidRDefault="0067471A" w:rsidP="000252B8">
      <w:pPr>
        <w:pStyle w:val="NoSpacing"/>
        <w:rPr>
          <w:rFonts w:cstheme="minorHAnsi"/>
        </w:rPr>
      </w:pPr>
    </w:p>
    <w:p w14:paraId="78B5DD26" w14:textId="77777777"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5. Section 3 -  Vision and mission</w:t>
      </w:r>
    </w:p>
    <w:p w14:paraId="73F1EEDE"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Vision? (‘A world in which every woman, child and adolescent realizes their right to health and well-being, leaving no one behind’)</w:t>
      </w:r>
    </w:p>
    <w:p w14:paraId="2365A26D" w14:textId="77777777" w:rsidR="0067471A" w:rsidRPr="002B6724" w:rsidRDefault="0067471A" w:rsidP="000252B8">
      <w:pPr>
        <w:pStyle w:val="NoSpacing"/>
        <w:rPr>
          <w:rFonts w:cstheme="minorHAnsi"/>
        </w:rPr>
      </w:pPr>
    </w:p>
    <w:p w14:paraId="4EDD4F3A" w14:textId="77777777" w:rsidR="002B6724" w:rsidRPr="002B6724" w:rsidRDefault="00D010C4" w:rsidP="00D010C4">
      <w:pPr>
        <w:pStyle w:val="NoSpacing"/>
        <w:rPr>
          <w:rFonts w:cstheme="minorHAnsi"/>
          <w:b/>
          <w:color w:val="C00000"/>
        </w:rPr>
      </w:pPr>
      <w:r w:rsidRPr="002B6724">
        <w:rPr>
          <w:rFonts w:cstheme="minorHAnsi"/>
          <w:b/>
          <w:color w:val="C00000"/>
        </w:rPr>
        <w:lastRenderedPageBreak/>
        <w:t xml:space="preserve">Response: </w:t>
      </w:r>
    </w:p>
    <w:p w14:paraId="341A14CF"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r w:rsidRPr="002B6724">
        <w:rPr>
          <w:rFonts w:asciiTheme="minorHAnsi" w:hAnsiTheme="minorHAnsi" w:cstheme="minorHAnsi"/>
          <w:sz w:val="22"/>
          <w:szCs w:val="22"/>
        </w:rPr>
        <w:t xml:space="preserve">We understand the concern over lengthening the Vision and Mission statement by adding the word “survival”. However, as the SAWG explained in a recent </w:t>
      </w:r>
      <w:hyperlink r:id="rId7" w:history="1">
        <w:r w:rsidRPr="002B6724">
          <w:rPr>
            <w:rStyle w:val="Hyperlink"/>
            <w:rFonts w:asciiTheme="minorHAnsi" w:hAnsiTheme="minorHAnsi" w:cstheme="minorHAnsi"/>
            <w:color w:val="auto"/>
            <w:sz w:val="22"/>
            <w:szCs w:val="22"/>
          </w:rPr>
          <w:t>Rapid Response</w:t>
        </w:r>
      </w:hyperlink>
      <w:r w:rsidRPr="002B6724">
        <w:rPr>
          <w:rFonts w:asciiTheme="minorHAnsi" w:hAnsiTheme="minorHAnsi" w:cstheme="minorHAnsi"/>
          <w:sz w:val="22"/>
          <w:szCs w:val="22"/>
        </w:rPr>
        <w:t xml:space="preserve"> to the BMJ collection “Leave no one behind”, one of the reasons stillbirths continue to be left behind is exactly because they are not explicitly mentioned sufficiently in high-level documents. The reasons for the continued exclusion of stillbirth have been well-researched and presented in The Lancet Ending Preventable Stillbirths series. </w:t>
      </w:r>
    </w:p>
    <w:p w14:paraId="679D1AF2"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p>
    <w:p w14:paraId="111F9646" w14:textId="77777777" w:rsidR="002B6724" w:rsidRPr="002B6724" w:rsidRDefault="002B6724" w:rsidP="002B6724">
      <w:pPr>
        <w:spacing w:after="0" w:line="240" w:lineRule="auto"/>
        <w:rPr>
          <w:rFonts w:cstheme="minorHAnsi"/>
        </w:rPr>
      </w:pPr>
      <w:r w:rsidRPr="002B6724">
        <w:rPr>
          <w:rFonts w:cstheme="minorHAnsi"/>
        </w:rPr>
        <w:t xml:space="preserve">If “stillbirth” is not clearly included in PMNCH’s vision and mission, the promise represented by PMNCH’s new stated focus on ending preventable stillbirths will fall short. Our experience unfortunately shows that when stillbirth is not clearly mentioned at the highest levels, it is forgotten. </w:t>
      </w:r>
      <w:r w:rsidRPr="002B6724">
        <w:rPr>
          <w:rFonts w:eastAsia="Times New Roman" w:cstheme="minorHAnsi"/>
        </w:rPr>
        <w:t>As we wrote in our Rapid response to the BMJ “Leave no one behind” collection, silence around stillbirth persists in many important policies and reports, driving the continued lag in progress. The SDGs excluded stillbirth, and we can see the repercussions of this omission in the inadvertent exclusion of the stillbirth rate as an indicator of the PMNCH draft strategy that purports to focus on stillbirth! The BMJ collection on “Leave no one behind” ironically left 2.6 million stillbirths behind by making no mention of them at all in the collection’s 16 documents, including the headline piece by WHO’s DG Ghebreyesus.</w:t>
      </w:r>
      <w:r w:rsidRPr="002B6724">
        <w:rPr>
          <w:rFonts w:cstheme="minorHAnsi"/>
        </w:rPr>
        <w:t xml:space="preserve"> </w:t>
      </w:r>
    </w:p>
    <w:p w14:paraId="03D4C58A" w14:textId="77777777" w:rsidR="002B6724" w:rsidRPr="002B6724" w:rsidRDefault="002B6724" w:rsidP="002B6724">
      <w:pPr>
        <w:spacing w:after="0" w:line="240" w:lineRule="auto"/>
        <w:rPr>
          <w:rFonts w:cstheme="minorHAnsi"/>
        </w:rPr>
      </w:pPr>
    </w:p>
    <w:p w14:paraId="14AAE4E6"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r w:rsidRPr="002B6724">
        <w:rPr>
          <w:rFonts w:asciiTheme="minorHAnsi" w:hAnsiTheme="minorHAnsi" w:cstheme="minorHAnsi"/>
          <w:sz w:val="22"/>
          <w:szCs w:val="22"/>
        </w:rPr>
        <w:t xml:space="preserve">We understand there are many competing concerns and interests as you work hard to finalize this document. </w:t>
      </w:r>
      <w:r w:rsidRPr="002B6724">
        <w:rPr>
          <w:rFonts w:asciiTheme="minorHAnsi" w:hAnsiTheme="minorHAnsi" w:cstheme="minorHAnsi"/>
          <w:b/>
          <w:bCs/>
          <w:sz w:val="22"/>
          <w:szCs w:val="22"/>
        </w:rPr>
        <w:t>If it is simply not possible to include the phrase “with no preventable newborn deaths and stillbirths”, then we strongly urge you to at least include the single word “survival” in both vision and mission.</w:t>
      </w:r>
      <w:r w:rsidRPr="002B6724">
        <w:rPr>
          <w:rFonts w:asciiTheme="minorHAnsi" w:hAnsiTheme="minorHAnsi" w:cstheme="minorHAnsi"/>
          <w:sz w:val="22"/>
          <w:szCs w:val="22"/>
        </w:rPr>
        <w:t xml:space="preserve"> Consider that current wording, with the phrase “women, children and adolescents”, is not understood by most people to include “stillbirth”. Consider that for a stillbirth, all that is needed is to be born alive—survival. Consider that for a stillbirth, “health and wellbeing” make no sense, as the baby is not even born alive. Consider that “health and wellbeing” presuppose a live birth. It is clear that the vision and mission simply do not include stillbirths as they are now written—because “children” is not understood to include “stillbirths”, and “health and wellbeing” are irrelevant for stillbirths. Including the word “survival” will also align nicely with the Global Strategy’s focus on “survive and thrive”.</w:t>
      </w:r>
    </w:p>
    <w:p w14:paraId="7B1C1402"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p>
    <w:p w14:paraId="7F38835D"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r w:rsidRPr="002B6724">
        <w:rPr>
          <w:rFonts w:asciiTheme="minorHAnsi" w:hAnsiTheme="minorHAnsi" w:cstheme="minorHAnsi"/>
          <w:sz w:val="22"/>
          <w:szCs w:val="22"/>
        </w:rPr>
        <w:t xml:space="preserve">The PMNCH’s new 5-year strategy document presents a great opportunity to avoid repeating the error of omission that has contributed to stillbirth’s low global profile, by ensuring that stillbirths are explicitly included at the highest level in the strategy—the vision and mission—as it is the vision and mission that set the tone for the entire strategy. Including “survival” in the vision and mission will demonstrate PMNCH’s commitment to ensuring stillbirths are included in their strategy moving forward.  </w:t>
      </w:r>
    </w:p>
    <w:p w14:paraId="75EA79A5" w14:textId="77777777" w:rsidR="000252B8" w:rsidRPr="002B6724" w:rsidRDefault="000252B8" w:rsidP="000252B8">
      <w:pPr>
        <w:pStyle w:val="NoSpacing"/>
        <w:rPr>
          <w:rFonts w:cstheme="minorHAnsi"/>
        </w:rPr>
      </w:pPr>
    </w:p>
    <w:p w14:paraId="3F499EA9" w14:textId="77777777"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6. Section 3 - Vision and Mission</w:t>
      </w:r>
    </w:p>
    <w:p w14:paraId="06588CA5"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Mission? (‘To mobilize, align and amplify the voice of partners to advocate for women’s, children’s and adolescents’ health and well-being, particularly the most vulnerable’)</w:t>
      </w:r>
    </w:p>
    <w:p w14:paraId="0E1841DA" w14:textId="77777777" w:rsidR="000252B8" w:rsidRPr="002B6724" w:rsidRDefault="000252B8" w:rsidP="000252B8">
      <w:pPr>
        <w:pStyle w:val="NoSpacing"/>
        <w:rPr>
          <w:rFonts w:cstheme="minorHAnsi"/>
        </w:rPr>
      </w:pPr>
    </w:p>
    <w:p w14:paraId="283912B8" w14:textId="77777777" w:rsidR="006D4AB5" w:rsidRDefault="00D010C4" w:rsidP="00D010C4">
      <w:pPr>
        <w:pStyle w:val="NoSpacing"/>
        <w:rPr>
          <w:rFonts w:cstheme="minorHAnsi"/>
        </w:rPr>
      </w:pPr>
      <w:r w:rsidRPr="002B6724">
        <w:rPr>
          <w:rFonts w:cstheme="minorHAnsi"/>
          <w:b/>
          <w:color w:val="C00000"/>
        </w:rPr>
        <w:t>Response:</w:t>
      </w:r>
      <w:r w:rsidRPr="002B6724">
        <w:rPr>
          <w:rFonts w:cstheme="minorHAnsi"/>
        </w:rPr>
        <w:t xml:space="preserve"> </w:t>
      </w:r>
    </w:p>
    <w:p w14:paraId="53A30C9B" w14:textId="0C11381C" w:rsidR="00D010C4" w:rsidRPr="002B6724" w:rsidRDefault="00D010C4" w:rsidP="00D010C4">
      <w:pPr>
        <w:pStyle w:val="NoSpacing"/>
        <w:rPr>
          <w:rFonts w:cstheme="minorHAnsi"/>
        </w:rPr>
      </w:pPr>
      <w:r w:rsidRPr="002B6724">
        <w:rPr>
          <w:rFonts w:cstheme="minorHAnsi"/>
        </w:rPr>
        <w:t xml:space="preserve">Same issue as </w:t>
      </w:r>
      <w:r w:rsidR="006D4AB5">
        <w:rPr>
          <w:rFonts w:cstheme="minorHAnsi"/>
        </w:rPr>
        <w:t>for Vision</w:t>
      </w:r>
      <w:r w:rsidRPr="002B6724">
        <w:rPr>
          <w:rFonts w:cstheme="minorHAnsi"/>
        </w:rPr>
        <w:t xml:space="preserve">. </w:t>
      </w:r>
    </w:p>
    <w:p w14:paraId="312769EE" w14:textId="77777777" w:rsidR="000252B8" w:rsidRPr="002B6724" w:rsidRDefault="000252B8" w:rsidP="000252B8">
      <w:pPr>
        <w:pStyle w:val="NoSpacing"/>
        <w:rPr>
          <w:rFonts w:cstheme="minorHAnsi"/>
        </w:rPr>
      </w:pPr>
    </w:p>
    <w:p w14:paraId="50179E36" w14:textId="77777777" w:rsidR="000252B8" w:rsidRPr="002B6724" w:rsidRDefault="000252B8" w:rsidP="00593D4D">
      <w:pPr>
        <w:pStyle w:val="NoSpacing"/>
        <w:shd w:val="clear" w:color="auto" w:fill="BFBFBF" w:themeFill="background1" w:themeFillShade="BF"/>
        <w:rPr>
          <w:rFonts w:cstheme="minorHAnsi"/>
          <w:b/>
        </w:rPr>
      </w:pPr>
      <w:r w:rsidRPr="002B6724">
        <w:rPr>
          <w:rFonts w:cstheme="minorHAnsi"/>
          <w:b/>
        </w:rPr>
        <w:t>7. Section 4 - Impact (as part of the Theory of Change)</w:t>
      </w:r>
    </w:p>
    <w:p w14:paraId="351D53C9"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 xml:space="preserve">Is it correct to </w:t>
      </w:r>
      <w:proofErr w:type="spellStart"/>
      <w:r w:rsidRPr="002B6724">
        <w:rPr>
          <w:rFonts w:cstheme="minorHAnsi"/>
        </w:rPr>
        <w:t>prioritise</w:t>
      </w:r>
      <w:proofErr w:type="spellEnd"/>
      <w:r w:rsidRPr="002B6724">
        <w:rPr>
          <w:rFonts w:cstheme="minorHAnsi"/>
        </w:rPr>
        <w:t xml:space="preserve"> SDG3 targets? And, if so, have the right targets been </w:t>
      </w:r>
      <w:proofErr w:type="spellStart"/>
      <w:r w:rsidRPr="002B6724">
        <w:rPr>
          <w:rFonts w:cstheme="minorHAnsi"/>
        </w:rPr>
        <w:t>prioritised</w:t>
      </w:r>
      <w:proofErr w:type="spellEnd"/>
      <w:r w:rsidRPr="002B6724">
        <w:rPr>
          <w:rFonts w:cstheme="minorHAnsi"/>
        </w:rPr>
        <w:t>?</w:t>
      </w:r>
    </w:p>
    <w:p w14:paraId="41241B83" w14:textId="77777777" w:rsidR="0067471A" w:rsidRPr="002B6724" w:rsidRDefault="0067471A" w:rsidP="000252B8">
      <w:pPr>
        <w:pStyle w:val="NoSpacing"/>
        <w:rPr>
          <w:rFonts w:cstheme="minorHAnsi"/>
        </w:rPr>
      </w:pPr>
    </w:p>
    <w:p w14:paraId="138210B7" w14:textId="77777777" w:rsidR="002B6724" w:rsidRPr="002B6724" w:rsidRDefault="0067471A" w:rsidP="0067471A">
      <w:pPr>
        <w:rPr>
          <w:rFonts w:cstheme="minorHAnsi"/>
          <w:b/>
          <w:color w:val="C00000"/>
        </w:rPr>
      </w:pPr>
      <w:r w:rsidRPr="002B6724">
        <w:rPr>
          <w:rFonts w:cstheme="minorHAnsi"/>
          <w:b/>
          <w:color w:val="C00000"/>
        </w:rPr>
        <w:t xml:space="preserve">Response: </w:t>
      </w:r>
    </w:p>
    <w:p w14:paraId="5263CE62"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r w:rsidRPr="002B6724">
        <w:rPr>
          <w:rFonts w:asciiTheme="minorHAnsi" w:hAnsiTheme="minorHAnsi" w:cstheme="minorHAnsi"/>
          <w:sz w:val="22"/>
          <w:szCs w:val="22"/>
        </w:rPr>
        <w:lastRenderedPageBreak/>
        <w:t>The problem with using the SDGs to track impact is that the SDGs exclude stillbirth. Please add the following qualifying text to the Results Framework section of the Strategy:</w:t>
      </w:r>
    </w:p>
    <w:p w14:paraId="59F16728"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p>
    <w:p w14:paraId="1D0F5668" w14:textId="77777777" w:rsidR="002B6724" w:rsidRPr="002B6724" w:rsidRDefault="002B6724" w:rsidP="002B6724">
      <w:pPr>
        <w:pStyle w:val="yiv2884773491msonormal"/>
        <w:shd w:val="clear" w:color="auto" w:fill="FFFFFF"/>
        <w:spacing w:before="0" w:beforeAutospacing="0" w:after="0" w:afterAutospacing="0"/>
        <w:ind w:left="720"/>
        <w:rPr>
          <w:rFonts w:asciiTheme="minorHAnsi" w:hAnsiTheme="minorHAnsi" w:cstheme="minorHAnsi"/>
          <w:sz w:val="22"/>
          <w:szCs w:val="22"/>
        </w:rPr>
      </w:pPr>
      <w:r w:rsidRPr="002B6724">
        <w:rPr>
          <w:rFonts w:asciiTheme="minorHAnsi" w:hAnsiTheme="minorHAnsi" w:cstheme="minorHAnsi"/>
          <w:sz w:val="22"/>
          <w:szCs w:val="22"/>
        </w:rPr>
        <w:t xml:space="preserve">“Whilst no specific target for stillbirths was included in the SDGs, Goal 3.2 (ending preventable deaths of children) also covers reduction of perinatal mortality rates which comprise stillbirths plus early neonatal deaths. This is </w:t>
      </w:r>
      <w:proofErr w:type="spellStart"/>
      <w:r w:rsidRPr="002B6724">
        <w:rPr>
          <w:rFonts w:asciiTheme="minorHAnsi" w:hAnsiTheme="minorHAnsi" w:cstheme="minorHAnsi"/>
          <w:sz w:val="22"/>
          <w:szCs w:val="22"/>
        </w:rPr>
        <w:t>recognised</w:t>
      </w:r>
      <w:proofErr w:type="spellEnd"/>
      <w:r w:rsidRPr="002B6724">
        <w:rPr>
          <w:rFonts w:asciiTheme="minorHAnsi" w:hAnsiTheme="minorHAnsi" w:cstheme="minorHAnsi"/>
          <w:sz w:val="22"/>
          <w:szCs w:val="22"/>
        </w:rPr>
        <w:t xml:space="preserve"> in the UN Global Strategy for Women’s Children’s and Adolescent Health (where stillbirth is a core indicator) and Every Newborn Action Plan (which set a national target for stillbirth reduction, alongside the SDG 3.2 neonatal mortality target). MNH interventions impacting on SDG3 targets for neonatal mortality, also impact on stillbirth mortality. In view of substantial misclassification between stillbirths and early neonatal deaths, it is recommended that stillbirth rates and perinatal death rates (stillbirths plus early neonatal deaths) are tracked alongside neonatal mortality rates.”</w:t>
      </w:r>
    </w:p>
    <w:p w14:paraId="27CF8F23" w14:textId="77777777" w:rsidR="0067471A" w:rsidRPr="002B6724" w:rsidRDefault="0067471A" w:rsidP="000252B8">
      <w:pPr>
        <w:pStyle w:val="NoSpacing"/>
        <w:rPr>
          <w:rFonts w:cstheme="minorHAnsi"/>
        </w:rPr>
      </w:pPr>
    </w:p>
    <w:p w14:paraId="6C3E9243" w14:textId="15F4E2C5"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r w:rsidRPr="002B6724">
        <w:rPr>
          <w:rFonts w:asciiTheme="minorHAnsi" w:hAnsiTheme="minorHAnsi" w:cstheme="minorHAnsi"/>
          <w:sz w:val="22"/>
          <w:szCs w:val="22"/>
        </w:rPr>
        <w:t>Further, p</w:t>
      </w:r>
      <w:r w:rsidRPr="002B6724">
        <w:rPr>
          <w:rFonts w:asciiTheme="minorHAnsi" w:hAnsiTheme="minorHAnsi" w:cstheme="minorHAnsi"/>
          <w:sz w:val="22"/>
          <w:szCs w:val="22"/>
        </w:rPr>
        <w:t>lease use a revised text box which includes the ENAP/GS stillbirth rate indicator in the set of indicators that PMNCH will be tracking.</w:t>
      </w:r>
    </w:p>
    <w:p w14:paraId="6EAC61CD" w14:textId="6630E530"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p>
    <w:p w14:paraId="20722E97" w14:textId="77777777" w:rsidR="002B6724" w:rsidRPr="002B6724" w:rsidRDefault="002B6724" w:rsidP="002B6724">
      <w:pPr>
        <w:pStyle w:val="yiv2884773491msonormal"/>
        <w:shd w:val="clear" w:color="auto" w:fill="FFFFFF"/>
        <w:spacing w:before="0" w:beforeAutospacing="0" w:after="0" w:afterAutospacing="0"/>
        <w:rPr>
          <w:rFonts w:asciiTheme="minorHAnsi" w:hAnsiTheme="minorHAnsi" w:cstheme="minorHAnsi"/>
          <w:sz w:val="22"/>
          <w:szCs w:val="22"/>
        </w:rPr>
      </w:pPr>
      <w:r w:rsidRPr="002B6724">
        <w:rPr>
          <w:rFonts w:asciiTheme="minorHAnsi" w:hAnsiTheme="minorHAnsi" w:cstheme="minorHAnsi"/>
          <w:sz w:val="22"/>
          <w:szCs w:val="22"/>
        </w:rPr>
        <w:t xml:space="preserve">Further, </w:t>
      </w:r>
      <w:r w:rsidRPr="002B6724">
        <w:rPr>
          <w:rFonts w:asciiTheme="minorHAnsi" w:hAnsiTheme="minorHAnsi" w:cstheme="minorHAnsi"/>
          <w:sz w:val="22"/>
          <w:szCs w:val="22"/>
        </w:rPr>
        <w:t>Annex 4 is currently named “SDG targets &amp; indicators (PMNCH impact measures)”. Please change this to “PMNCH impact measures” and add a new section to the table, in addition to the section on “SDG 3 indicators” and the section on “other SDG indicators”: add a section entitled “ENAP/GS indicators” and just put the stillbirth rate there. PMNCH does not need to repeat the mistakes of the past but can instead correct them by including the stillbirth rate as an indicator of its strategy, despite its exclusion from the SDGs.</w:t>
      </w:r>
    </w:p>
    <w:p w14:paraId="60B309E7" w14:textId="377E173E" w:rsidR="000252B8" w:rsidRPr="002B6724" w:rsidRDefault="000252B8" w:rsidP="000252B8">
      <w:pPr>
        <w:pStyle w:val="NoSpacing"/>
        <w:rPr>
          <w:rFonts w:cstheme="minorHAnsi"/>
        </w:rPr>
      </w:pPr>
    </w:p>
    <w:p w14:paraId="4F8FDB1A"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8. Section 4 - Impact (as part of the Theory of Change)</w:t>
      </w:r>
    </w:p>
    <w:p w14:paraId="5CD55BC5"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inclusion of non-health SDGs (e.g. Education, WASH)? (i.e. determinants of health outcomes that PMNCH will contribute to and track)</w:t>
      </w:r>
    </w:p>
    <w:p w14:paraId="002E80EB" w14:textId="77777777" w:rsidR="00D010C4" w:rsidRPr="002B6724" w:rsidRDefault="00D010C4" w:rsidP="00D010C4">
      <w:pPr>
        <w:pStyle w:val="NoSpacing"/>
        <w:rPr>
          <w:rFonts w:cstheme="minorHAnsi"/>
          <w:b/>
          <w:color w:val="C00000"/>
        </w:rPr>
      </w:pPr>
    </w:p>
    <w:p w14:paraId="6A9C958B" w14:textId="77777777" w:rsidR="006D4AB5" w:rsidRDefault="00D010C4" w:rsidP="00D010C4">
      <w:pPr>
        <w:pStyle w:val="NoSpacing"/>
        <w:rPr>
          <w:rFonts w:cstheme="minorHAnsi"/>
          <w:b/>
          <w:color w:val="C00000"/>
        </w:rPr>
      </w:pPr>
      <w:r w:rsidRPr="002B6724">
        <w:rPr>
          <w:rFonts w:cstheme="minorHAnsi"/>
          <w:b/>
          <w:color w:val="C00000"/>
        </w:rPr>
        <w:t xml:space="preserve">Response: </w:t>
      </w:r>
    </w:p>
    <w:p w14:paraId="13145D83" w14:textId="0BA240CC" w:rsidR="00D010C4" w:rsidRPr="002B6724" w:rsidRDefault="00D010C4" w:rsidP="00D010C4">
      <w:pPr>
        <w:pStyle w:val="NoSpacing"/>
        <w:rPr>
          <w:rFonts w:cstheme="minorHAnsi"/>
        </w:rPr>
      </w:pPr>
      <w:r w:rsidRPr="002B6724">
        <w:rPr>
          <w:rFonts w:cstheme="minorHAnsi"/>
        </w:rPr>
        <w:t>No comment</w:t>
      </w:r>
    </w:p>
    <w:p w14:paraId="2BB01415" w14:textId="77777777" w:rsidR="000252B8" w:rsidRPr="002B6724" w:rsidRDefault="000252B8" w:rsidP="000252B8">
      <w:pPr>
        <w:pStyle w:val="NoSpacing"/>
        <w:rPr>
          <w:rFonts w:cstheme="minorHAnsi"/>
        </w:rPr>
      </w:pPr>
    </w:p>
    <w:p w14:paraId="1CFF44F3"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 xml:space="preserve">9. Section 5 - Objectives </w:t>
      </w:r>
    </w:p>
    <w:p w14:paraId="0804E9BC"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selection and specification of Objective nr. 1: Maternal, newborn and child health (MNCH): amplifying action to reduce preventable MNC mortality and morbidity, including stillbirths, by stimulating the integration of essential WCAH interventions in UHC and enhancing high-quality services?</w:t>
      </w:r>
    </w:p>
    <w:p w14:paraId="3F878167" w14:textId="77777777" w:rsidR="00D010C4" w:rsidRPr="002B6724" w:rsidRDefault="00D010C4" w:rsidP="000252B8">
      <w:pPr>
        <w:pStyle w:val="NoSpacing"/>
        <w:rPr>
          <w:rFonts w:cstheme="minorHAnsi"/>
        </w:rPr>
      </w:pPr>
    </w:p>
    <w:p w14:paraId="14DE17EE" w14:textId="77777777" w:rsidR="002B6724" w:rsidRPr="002B6724" w:rsidRDefault="00D010C4" w:rsidP="00D010C4">
      <w:pPr>
        <w:pStyle w:val="NoSpacing"/>
        <w:rPr>
          <w:rFonts w:cstheme="minorHAnsi"/>
          <w:b/>
          <w:color w:val="C00000"/>
        </w:rPr>
      </w:pPr>
      <w:r w:rsidRPr="002B6724">
        <w:rPr>
          <w:rFonts w:cstheme="minorHAnsi"/>
          <w:b/>
          <w:color w:val="C00000"/>
        </w:rPr>
        <w:t xml:space="preserve">Response: </w:t>
      </w:r>
    </w:p>
    <w:p w14:paraId="3CE463B9" w14:textId="77777777" w:rsidR="002B6724" w:rsidRPr="002B6724" w:rsidRDefault="002B6724" w:rsidP="002B6724">
      <w:pPr>
        <w:spacing w:after="0" w:line="240" w:lineRule="auto"/>
        <w:rPr>
          <w:rFonts w:cstheme="minorHAnsi"/>
        </w:rPr>
      </w:pPr>
      <w:r w:rsidRPr="002B6724">
        <w:rPr>
          <w:rFonts w:cstheme="minorHAnsi"/>
        </w:rPr>
        <w:t xml:space="preserve">Our concern with the objectives currently is that (1) they treat MNCH, SRHR and Adolescent health as separate entities, and will inadvertently perpetuate a silo-like approach, and (2) they imply that integration of interventions is only important for MNCH, financing is only important for SRHR, and partner alignment is only important for adolescent health. This doesn’t make sense. Clearly, integration of interventions is just as important for SRHR and adolescent health as it is for MNCH. Clearly, financing is just as important for MNCH and adolescent health as it is for SRHR. And clearly, partner alignment is just as important for MNCH and SRHR as it is for adolescent health. </w:t>
      </w:r>
    </w:p>
    <w:p w14:paraId="20D274C5" w14:textId="77777777" w:rsidR="002B6724" w:rsidRPr="002B6724" w:rsidRDefault="002B6724" w:rsidP="002B6724">
      <w:pPr>
        <w:spacing w:after="0" w:line="240" w:lineRule="auto"/>
        <w:rPr>
          <w:rFonts w:cstheme="minorHAnsi"/>
        </w:rPr>
      </w:pPr>
    </w:p>
    <w:p w14:paraId="44D664C3" w14:textId="77777777" w:rsidR="002B6724" w:rsidRPr="002B6724" w:rsidRDefault="002B6724" w:rsidP="002B6724">
      <w:pPr>
        <w:spacing w:after="0" w:line="240" w:lineRule="auto"/>
        <w:rPr>
          <w:rFonts w:cstheme="minorHAnsi"/>
        </w:rPr>
      </w:pPr>
      <w:r w:rsidRPr="002B6724">
        <w:rPr>
          <w:rFonts w:cstheme="minorHAnsi"/>
        </w:rPr>
        <w:t xml:space="preserve">The need to have integrated rather than fragmented objectives in PMNCH’s 5-year strategy also directly relates to stillbirth. Just like adolescents, and other components of MNCH, stillbirth also requires enhanced and aligned advocacy to ensure continuous progress on financing and equitable access. There </w:t>
      </w:r>
      <w:r w:rsidRPr="002B6724">
        <w:rPr>
          <w:rFonts w:cstheme="minorHAnsi"/>
        </w:rPr>
        <w:lastRenderedPageBreak/>
        <w:t>is a huge funding gap for stillbirth, which was only mentioned four times in the OECD database for ODA for WCAH in the 12-year funding period from 2002-2013 (</w:t>
      </w:r>
      <w:proofErr w:type="spellStart"/>
      <w:r w:rsidRPr="002B6724">
        <w:rPr>
          <w:rFonts w:cstheme="minorHAnsi"/>
        </w:rPr>
        <w:t>Froen</w:t>
      </w:r>
      <w:proofErr w:type="spellEnd"/>
      <w:r w:rsidRPr="002B6724">
        <w:rPr>
          <w:rFonts w:cstheme="minorHAnsi"/>
        </w:rPr>
        <w:t xml:space="preserve"> et al 2016). Stillbirths are also an issue of equity, as most of these deaths occur in low- and middle-income countries (98%) and in rural areas (60%), and many in conflict and emergency zones, affecting the families most underserved by healthcare systems (J. E. Lawn et al., 2016a), with the risk of stillbirth highest for the most </w:t>
      </w:r>
      <w:proofErr w:type="spellStart"/>
      <w:r w:rsidRPr="002B6724">
        <w:rPr>
          <w:rFonts w:cstheme="minorHAnsi"/>
        </w:rPr>
        <w:t>marginalised</w:t>
      </w:r>
      <w:proofErr w:type="spellEnd"/>
      <w:r w:rsidRPr="002B6724">
        <w:rPr>
          <w:rFonts w:cstheme="minorHAnsi"/>
        </w:rPr>
        <w:t xml:space="preserve"> populations in all settings: social disadvantage is associated with a doubling of the risk of stillbirth in high-income countries, an effect that is likely to be even greater in LMIC (Flenady et al., 2016b). This disparity reflects structural inequalities, including racism and inequity of opportunity. Finally, just like other components of MNCH and adolescent health, stillbirth also requires engagement with, alignment of and capacitation of partners, in support of the Lancet’s Ending Preventable Stillbirths Call to Action and the Every Newborn Action Plan; this need is reflected in the disappointing statistic that stillbirths remain absent in 61 of 90 national plans tracked by ENAP.  </w:t>
      </w:r>
    </w:p>
    <w:p w14:paraId="6FE45358" w14:textId="77777777" w:rsidR="002B6724" w:rsidRPr="002B6724" w:rsidRDefault="002B6724" w:rsidP="002B6724">
      <w:pPr>
        <w:spacing w:after="0" w:line="240" w:lineRule="auto"/>
        <w:rPr>
          <w:rFonts w:cstheme="minorHAnsi"/>
        </w:rPr>
      </w:pPr>
    </w:p>
    <w:p w14:paraId="255E5440" w14:textId="77777777" w:rsidR="002B6724" w:rsidRPr="002B6724" w:rsidRDefault="002B6724" w:rsidP="002B6724">
      <w:pPr>
        <w:spacing w:after="0" w:line="240" w:lineRule="auto"/>
        <w:rPr>
          <w:rFonts w:cstheme="minorHAnsi"/>
        </w:rPr>
      </w:pPr>
      <w:r w:rsidRPr="002B6724">
        <w:rPr>
          <w:rFonts w:cstheme="minorHAnsi"/>
        </w:rPr>
        <w:t xml:space="preserve">We propose the following easy “fix”, which retains the essence of the objectives while avoiding the counterproductive disjointing of MNCH, SRHR and adolescents, which are of course inherently linked. </w:t>
      </w:r>
    </w:p>
    <w:p w14:paraId="2ED2E9B4" w14:textId="77777777" w:rsidR="002B6724" w:rsidRPr="002B6724" w:rsidRDefault="002B6724" w:rsidP="002B6724">
      <w:pPr>
        <w:spacing w:after="0" w:line="240" w:lineRule="auto"/>
        <w:rPr>
          <w:rFonts w:cstheme="minorHAnsi"/>
        </w:rPr>
      </w:pPr>
    </w:p>
    <w:p w14:paraId="6C5C58AF" w14:textId="77777777" w:rsidR="002B6724" w:rsidRPr="002B6724" w:rsidRDefault="002B6724" w:rsidP="002B6724">
      <w:pPr>
        <w:spacing w:after="0" w:line="240" w:lineRule="auto"/>
        <w:rPr>
          <w:rFonts w:cstheme="minorHAnsi"/>
        </w:rPr>
      </w:pPr>
      <w:r w:rsidRPr="002B6724">
        <w:rPr>
          <w:rFonts w:cstheme="minorHAnsi"/>
        </w:rPr>
        <w:t>SAWG proposed objectives (identical wording to current objectives is bolded):</w:t>
      </w:r>
    </w:p>
    <w:p w14:paraId="2DC3178E" w14:textId="77777777" w:rsidR="002B6724" w:rsidRPr="002B6724" w:rsidRDefault="002B6724" w:rsidP="002B6724">
      <w:pPr>
        <w:pStyle w:val="ListParagraph"/>
        <w:numPr>
          <w:ilvl w:val="0"/>
          <w:numId w:val="9"/>
        </w:numPr>
        <w:jc w:val="both"/>
        <w:rPr>
          <w:rFonts w:cstheme="minorHAnsi"/>
        </w:rPr>
      </w:pPr>
      <w:r w:rsidRPr="002B6724">
        <w:rPr>
          <w:rFonts w:cstheme="minorHAnsi"/>
        </w:rPr>
        <w:t>Objectives to build a movement for WCAH:</w:t>
      </w:r>
    </w:p>
    <w:p w14:paraId="306B5E4E" w14:textId="77777777" w:rsidR="002B6724" w:rsidRPr="002B6724" w:rsidRDefault="002B6724" w:rsidP="002B6724">
      <w:pPr>
        <w:pStyle w:val="ListParagraph"/>
        <w:numPr>
          <w:ilvl w:val="1"/>
          <w:numId w:val="9"/>
        </w:numPr>
        <w:jc w:val="both"/>
        <w:rPr>
          <w:rFonts w:cstheme="minorHAnsi"/>
        </w:rPr>
      </w:pPr>
      <w:r w:rsidRPr="002B6724">
        <w:rPr>
          <w:rFonts w:cstheme="minorHAnsi"/>
          <w:b/>
          <w:bCs/>
        </w:rPr>
        <w:t>ensure integration of essential WCAH interventions in UHC and enhance high-quality services</w:t>
      </w:r>
      <w:r w:rsidRPr="002B6724">
        <w:rPr>
          <w:rFonts w:cstheme="minorHAnsi"/>
        </w:rPr>
        <w:t>;</w:t>
      </w:r>
    </w:p>
    <w:p w14:paraId="220DA743" w14:textId="77777777" w:rsidR="002B6724" w:rsidRPr="002B6724" w:rsidRDefault="002B6724" w:rsidP="002B6724">
      <w:pPr>
        <w:pStyle w:val="ListParagraph"/>
        <w:numPr>
          <w:ilvl w:val="1"/>
          <w:numId w:val="9"/>
        </w:numPr>
        <w:jc w:val="both"/>
        <w:rPr>
          <w:rFonts w:cstheme="minorHAnsi"/>
        </w:rPr>
      </w:pPr>
      <w:r w:rsidRPr="002B6724">
        <w:rPr>
          <w:rFonts w:cstheme="minorHAnsi"/>
          <w:b/>
          <w:bCs/>
        </w:rPr>
        <w:t>ensure continuous progress on financing of and equitable access to comprehensive WCAH packages</w:t>
      </w:r>
      <w:r w:rsidRPr="002B6724">
        <w:rPr>
          <w:rFonts w:cstheme="minorHAnsi"/>
        </w:rPr>
        <w:t>;</w:t>
      </w:r>
    </w:p>
    <w:p w14:paraId="00D66F6A" w14:textId="77777777" w:rsidR="002B6724" w:rsidRPr="002B6724" w:rsidRDefault="002B6724" w:rsidP="002B6724">
      <w:pPr>
        <w:pStyle w:val="ListParagraph"/>
        <w:numPr>
          <w:ilvl w:val="1"/>
          <w:numId w:val="9"/>
        </w:numPr>
        <w:jc w:val="both"/>
        <w:rPr>
          <w:rFonts w:cstheme="minorHAnsi"/>
        </w:rPr>
      </w:pPr>
      <w:r w:rsidRPr="002B6724">
        <w:rPr>
          <w:rFonts w:cstheme="minorHAnsi"/>
          <w:b/>
          <w:bCs/>
        </w:rPr>
        <w:t>engage, align and enable partners around WCAH policy and actions</w:t>
      </w:r>
      <w:r w:rsidRPr="002B6724">
        <w:rPr>
          <w:rFonts w:cstheme="minorHAnsi"/>
        </w:rPr>
        <w:t>.</w:t>
      </w:r>
    </w:p>
    <w:p w14:paraId="1C2818A2" w14:textId="77777777" w:rsidR="000252B8" w:rsidRPr="002B6724" w:rsidRDefault="000252B8" w:rsidP="000252B8">
      <w:pPr>
        <w:pStyle w:val="NoSpacing"/>
        <w:rPr>
          <w:rFonts w:cstheme="minorHAnsi"/>
        </w:rPr>
      </w:pPr>
    </w:p>
    <w:p w14:paraId="4945C61C"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 xml:space="preserve">10. Section 5 - Objectives </w:t>
      </w:r>
    </w:p>
    <w:p w14:paraId="14CDF00C"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selection and specification of Objective nr 2: Sexual and Reproductive Health and Rights (SRHR): enhancing and aligning advocacy to uphold essential SRHR interventions and ensure continuous progress on financing and equitable access to comprehensive SRHR packages?</w:t>
      </w:r>
    </w:p>
    <w:p w14:paraId="3B7EC7F6" w14:textId="77777777" w:rsidR="000252B8" w:rsidRPr="002B6724" w:rsidRDefault="000252B8" w:rsidP="000252B8">
      <w:pPr>
        <w:pStyle w:val="NoSpacing"/>
        <w:rPr>
          <w:rFonts w:cstheme="minorHAnsi"/>
        </w:rPr>
      </w:pPr>
    </w:p>
    <w:p w14:paraId="6D52F4E9" w14:textId="772DCD15" w:rsidR="00D010C4" w:rsidRPr="002B6724" w:rsidRDefault="00D010C4" w:rsidP="002B6724">
      <w:pPr>
        <w:pStyle w:val="NoSpacing"/>
        <w:rPr>
          <w:rFonts w:cstheme="minorHAnsi"/>
        </w:rPr>
      </w:pPr>
      <w:r w:rsidRPr="002B6724">
        <w:rPr>
          <w:rFonts w:cstheme="minorHAnsi"/>
          <w:b/>
          <w:color w:val="C00000"/>
        </w:rPr>
        <w:t xml:space="preserve">Response: </w:t>
      </w:r>
    </w:p>
    <w:p w14:paraId="3321A367" w14:textId="66B9C40A" w:rsidR="002B6724" w:rsidRPr="002B6724" w:rsidRDefault="006D4AB5" w:rsidP="002B6724">
      <w:pPr>
        <w:pStyle w:val="NoSpacing"/>
        <w:rPr>
          <w:rFonts w:cstheme="minorHAnsi"/>
        </w:rPr>
      </w:pPr>
      <w:r>
        <w:rPr>
          <w:rFonts w:cstheme="minorHAnsi"/>
        </w:rPr>
        <w:t>Same issue as for Objective #1</w:t>
      </w:r>
      <w:r w:rsidR="002B6724" w:rsidRPr="002B6724">
        <w:rPr>
          <w:rFonts w:cstheme="minorHAnsi"/>
        </w:rPr>
        <w:t>.</w:t>
      </w:r>
    </w:p>
    <w:p w14:paraId="3718E77D" w14:textId="77777777" w:rsidR="002B6724" w:rsidRPr="002B6724" w:rsidRDefault="002B6724" w:rsidP="002B6724">
      <w:pPr>
        <w:pStyle w:val="NoSpacing"/>
        <w:rPr>
          <w:rFonts w:cstheme="minorHAnsi"/>
        </w:rPr>
      </w:pPr>
    </w:p>
    <w:p w14:paraId="228A7154"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 xml:space="preserve">11. Section 5 - Objectives </w:t>
      </w:r>
    </w:p>
    <w:p w14:paraId="342A5F89"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selection and specification of Objective  3: Adolescent’s health and wellbeing: advancing the health and well-being of adolescents by engaging, aligning and capacitating partners around the Adolescent Health and Well-Being Framework and related policy and action?</w:t>
      </w:r>
    </w:p>
    <w:p w14:paraId="589FD133" w14:textId="77777777" w:rsidR="00D010C4" w:rsidRPr="002B6724" w:rsidRDefault="00D010C4" w:rsidP="000252B8">
      <w:pPr>
        <w:pStyle w:val="NoSpacing"/>
        <w:rPr>
          <w:rFonts w:cstheme="minorHAnsi"/>
        </w:rPr>
      </w:pPr>
    </w:p>
    <w:p w14:paraId="4040DB25" w14:textId="2521B946" w:rsidR="000252B8" w:rsidRPr="002B6724" w:rsidRDefault="00D010C4" w:rsidP="002B6724">
      <w:pPr>
        <w:pStyle w:val="NoSpacing"/>
        <w:rPr>
          <w:rFonts w:cstheme="minorHAnsi"/>
        </w:rPr>
      </w:pPr>
      <w:r w:rsidRPr="002B6724">
        <w:rPr>
          <w:rFonts w:cstheme="minorHAnsi"/>
          <w:b/>
          <w:color w:val="C00000"/>
        </w:rPr>
        <w:t xml:space="preserve">Response: </w:t>
      </w:r>
    </w:p>
    <w:p w14:paraId="1CD78D13" w14:textId="77777777" w:rsidR="006D4AB5" w:rsidRPr="002B6724" w:rsidRDefault="006D4AB5" w:rsidP="006D4AB5">
      <w:pPr>
        <w:pStyle w:val="NoSpacing"/>
        <w:rPr>
          <w:rFonts w:cstheme="minorHAnsi"/>
        </w:rPr>
      </w:pPr>
      <w:r>
        <w:rPr>
          <w:rFonts w:cstheme="minorHAnsi"/>
        </w:rPr>
        <w:t>Same issue as for Objective #1</w:t>
      </w:r>
      <w:r w:rsidRPr="002B6724">
        <w:rPr>
          <w:rFonts w:cstheme="minorHAnsi"/>
        </w:rPr>
        <w:t>.</w:t>
      </w:r>
    </w:p>
    <w:p w14:paraId="587B11BC" w14:textId="77777777" w:rsidR="002B6724" w:rsidRPr="002B6724" w:rsidRDefault="002B6724" w:rsidP="002B6724">
      <w:pPr>
        <w:pStyle w:val="NoSpacing"/>
        <w:rPr>
          <w:rFonts w:cstheme="minorHAnsi"/>
        </w:rPr>
      </w:pPr>
    </w:p>
    <w:p w14:paraId="1323FC00"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12. Section 6 - Functions and Partner Engagement</w:t>
      </w:r>
    </w:p>
    <w:p w14:paraId="66875281"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selection and framing of Advocacy as a core function?</w:t>
      </w:r>
    </w:p>
    <w:p w14:paraId="70751C24" w14:textId="77777777" w:rsidR="000252B8" w:rsidRPr="002B6724" w:rsidRDefault="000252B8" w:rsidP="000252B8">
      <w:pPr>
        <w:pStyle w:val="NoSpacing"/>
        <w:rPr>
          <w:rFonts w:cstheme="minorHAnsi"/>
        </w:rPr>
      </w:pPr>
    </w:p>
    <w:p w14:paraId="57C585E4"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13. Section 6 - Functions and Partner Engagement</w:t>
      </w:r>
    </w:p>
    <w:p w14:paraId="4FAE5C8F"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lastRenderedPageBreak/>
        <w:t>To what extent do you agree with the selection and framing of the supporting three approaches? (Knowledge synthesis &amp; application; Partner engagement, alignment &amp; empowerment; Execution of campaigns &amp; accountability for outcomes)</w:t>
      </w:r>
    </w:p>
    <w:p w14:paraId="6F21C6E4" w14:textId="77777777" w:rsidR="000252B8" w:rsidRPr="002B6724" w:rsidRDefault="000252B8" w:rsidP="000252B8">
      <w:pPr>
        <w:pStyle w:val="NoSpacing"/>
        <w:rPr>
          <w:rFonts w:cstheme="minorHAnsi"/>
        </w:rPr>
      </w:pPr>
    </w:p>
    <w:p w14:paraId="7DD81D13"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14. Section 6 - Functions and Partner Engagement</w:t>
      </w:r>
    </w:p>
    <w:p w14:paraId="66E052AB"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Are the means for Partner Engagement correctly specified?</w:t>
      </w:r>
    </w:p>
    <w:p w14:paraId="46D05232" w14:textId="77777777" w:rsidR="000252B8" w:rsidRPr="002B6724" w:rsidRDefault="000252B8" w:rsidP="000252B8">
      <w:pPr>
        <w:pStyle w:val="NoSpacing"/>
        <w:rPr>
          <w:rFonts w:cstheme="minorHAnsi"/>
        </w:rPr>
      </w:pPr>
    </w:p>
    <w:p w14:paraId="40EE2D78"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15. Section 6 - Functions and Partner Engagement</w:t>
      </w:r>
    </w:p>
    <w:p w14:paraId="0C531E40"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What contributions can your constituency or organization make to the Partnership?</w:t>
      </w:r>
    </w:p>
    <w:p w14:paraId="6BBC45EE" w14:textId="77777777" w:rsidR="000252B8" w:rsidRPr="002B6724" w:rsidRDefault="000252B8" w:rsidP="000252B8">
      <w:pPr>
        <w:pStyle w:val="NoSpacing"/>
        <w:rPr>
          <w:rFonts w:cstheme="minorHAnsi"/>
        </w:rPr>
      </w:pPr>
    </w:p>
    <w:p w14:paraId="30D39CA5"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16. Section 6 - Functions and Partner Engagement</w:t>
      </w:r>
    </w:p>
    <w:p w14:paraId="412D300C"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 xml:space="preserve">What membership benefits would be meaningful for your constituency or organization? </w:t>
      </w:r>
    </w:p>
    <w:p w14:paraId="7D99087C" w14:textId="77777777" w:rsidR="000252B8" w:rsidRPr="002B6724" w:rsidRDefault="000252B8" w:rsidP="000252B8">
      <w:pPr>
        <w:pStyle w:val="NoSpacing"/>
        <w:rPr>
          <w:rFonts w:cstheme="minorHAnsi"/>
        </w:rPr>
      </w:pPr>
    </w:p>
    <w:p w14:paraId="72E76BDD"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 xml:space="preserve">17. Section 7 - Outcomes </w:t>
      </w:r>
    </w:p>
    <w:p w14:paraId="3321F000"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focus and content of Outcome A: ‘better policies and legislation’?</w:t>
      </w:r>
    </w:p>
    <w:p w14:paraId="38010D70" w14:textId="77777777" w:rsidR="000252B8" w:rsidRPr="002B6724" w:rsidRDefault="000252B8" w:rsidP="000252B8">
      <w:pPr>
        <w:pStyle w:val="NoSpacing"/>
        <w:rPr>
          <w:rFonts w:cstheme="minorHAnsi"/>
        </w:rPr>
      </w:pPr>
    </w:p>
    <w:p w14:paraId="1B6D4892"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18. Section 7 - Outcomes</w:t>
      </w:r>
    </w:p>
    <w:p w14:paraId="4A85DC6F"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focus and content of Outcome B: ‘more and better financing’?</w:t>
      </w:r>
    </w:p>
    <w:p w14:paraId="0C666E89" w14:textId="77777777" w:rsidR="000252B8" w:rsidRPr="002B6724" w:rsidRDefault="000252B8" w:rsidP="000252B8">
      <w:pPr>
        <w:pStyle w:val="NoSpacing"/>
        <w:rPr>
          <w:rFonts w:cstheme="minorHAnsi"/>
        </w:rPr>
      </w:pPr>
    </w:p>
    <w:p w14:paraId="50AB39F0"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19. Section 7 - Outcomes</w:t>
      </w:r>
    </w:p>
    <w:p w14:paraId="53DA808E"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 you agree with the focus and content of Outcome C: ‘increased and more equitable coverage and uptake of quality services?</w:t>
      </w:r>
    </w:p>
    <w:p w14:paraId="0082B5A9" w14:textId="77777777" w:rsidR="000252B8" w:rsidRPr="002B6724" w:rsidRDefault="000252B8" w:rsidP="000252B8">
      <w:pPr>
        <w:pStyle w:val="NoSpacing"/>
        <w:rPr>
          <w:rFonts w:cstheme="minorHAnsi"/>
        </w:rPr>
      </w:pPr>
    </w:p>
    <w:p w14:paraId="317FC15A"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20. Section 8 -  Governance and Management</w:t>
      </w:r>
    </w:p>
    <w:p w14:paraId="0D2972F1"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To what extent does the Governance and Management section adequately describe the Governance, Secretariat, Budgets &amp; Work planning processes?</w:t>
      </w:r>
    </w:p>
    <w:p w14:paraId="0A2B2CFB" w14:textId="77777777" w:rsidR="000252B8" w:rsidRPr="002B6724" w:rsidRDefault="000252B8" w:rsidP="000252B8">
      <w:pPr>
        <w:pStyle w:val="NoSpacing"/>
        <w:rPr>
          <w:rFonts w:cstheme="minorHAnsi"/>
        </w:rPr>
      </w:pPr>
    </w:p>
    <w:p w14:paraId="35695577" w14:textId="77777777" w:rsidR="000252B8" w:rsidRPr="00593D4D" w:rsidRDefault="000252B8" w:rsidP="00593D4D">
      <w:pPr>
        <w:pStyle w:val="NoSpacing"/>
        <w:shd w:val="clear" w:color="auto" w:fill="BFBFBF" w:themeFill="background1" w:themeFillShade="BF"/>
        <w:rPr>
          <w:rFonts w:cstheme="minorHAnsi"/>
          <w:b/>
          <w:bCs/>
        </w:rPr>
      </w:pPr>
      <w:r w:rsidRPr="00593D4D">
        <w:rPr>
          <w:rFonts w:cstheme="minorHAnsi"/>
          <w:b/>
          <w:bCs/>
        </w:rPr>
        <w:t>21. Section 8 - Governance and Management</w:t>
      </w:r>
    </w:p>
    <w:p w14:paraId="250081DF" w14:textId="77777777" w:rsidR="000252B8" w:rsidRPr="002B6724" w:rsidRDefault="000252B8" w:rsidP="00593D4D">
      <w:pPr>
        <w:pStyle w:val="NoSpacing"/>
        <w:shd w:val="clear" w:color="auto" w:fill="BFBFBF" w:themeFill="background1" w:themeFillShade="BF"/>
        <w:rPr>
          <w:rFonts w:cstheme="minorHAnsi"/>
        </w:rPr>
      </w:pPr>
      <w:r w:rsidRPr="002B6724">
        <w:rPr>
          <w:rFonts w:cstheme="minorHAnsi"/>
        </w:rPr>
        <w:t>Are there any other aspects of Governance and Management that the strategy should cover?</w:t>
      </w:r>
    </w:p>
    <w:sectPr w:rsidR="000252B8" w:rsidRPr="002B6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13D0" w14:textId="77777777" w:rsidR="008A352B" w:rsidRDefault="008A352B" w:rsidP="00D010C4">
      <w:pPr>
        <w:spacing w:after="0" w:line="240" w:lineRule="auto"/>
      </w:pPr>
      <w:r>
        <w:separator/>
      </w:r>
    </w:p>
  </w:endnote>
  <w:endnote w:type="continuationSeparator" w:id="0">
    <w:p w14:paraId="2F32DC31" w14:textId="77777777" w:rsidR="008A352B" w:rsidRDefault="008A352B" w:rsidP="00D0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5CA6" w14:textId="77777777" w:rsidR="008A352B" w:rsidRDefault="008A352B" w:rsidP="00D010C4">
      <w:pPr>
        <w:spacing w:after="0" w:line="240" w:lineRule="auto"/>
      </w:pPr>
      <w:r>
        <w:separator/>
      </w:r>
    </w:p>
  </w:footnote>
  <w:footnote w:type="continuationSeparator" w:id="0">
    <w:p w14:paraId="6BA8A157" w14:textId="77777777" w:rsidR="008A352B" w:rsidRDefault="008A352B" w:rsidP="00D01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B97"/>
    <w:multiLevelType w:val="hybridMultilevel"/>
    <w:tmpl w:val="FF4A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0390"/>
    <w:multiLevelType w:val="hybridMultilevel"/>
    <w:tmpl w:val="531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996"/>
    <w:multiLevelType w:val="hybridMultilevel"/>
    <w:tmpl w:val="A0E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639"/>
    <w:multiLevelType w:val="multilevel"/>
    <w:tmpl w:val="290C1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B094E"/>
    <w:multiLevelType w:val="hybridMultilevel"/>
    <w:tmpl w:val="2C16A8D4"/>
    <w:lvl w:ilvl="0" w:tplc="651EBCC8">
      <w:start w:val="1"/>
      <w:numFmt w:val="lowerRoman"/>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14A6F"/>
    <w:multiLevelType w:val="hybridMultilevel"/>
    <w:tmpl w:val="EFB6A2F2"/>
    <w:lvl w:ilvl="0" w:tplc="04090001">
      <w:start w:val="1"/>
      <w:numFmt w:val="bullet"/>
      <w:lvlText w:val=""/>
      <w:lvlJc w:val="left"/>
      <w:pPr>
        <w:ind w:left="720" w:hanging="360"/>
      </w:pPr>
      <w:rPr>
        <w:rFonts w:ascii="Symbol" w:hAnsi="Symbol" w:hint="default"/>
      </w:rPr>
    </w:lvl>
    <w:lvl w:ilvl="1" w:tplc="A6AA5EAE">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1285F"/>
    <w:multiLevelType w:val="hybridMultilevel"/>
    <w:tmpl w:val="206E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76E70"/>
    <w:multiLevelType w:val="hybridMultilevel"/>
    <w:tmpl w:val="531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60B75"/>
    <w:multiLevelType w:val="multilevel"/>
    <w:tmpl w:val="8DD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257ED6"/>
    <w:multiLevelType w:val="hybridMultilevel"/>
    <w:tmpl w:val="38C06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B71E4"/>
    <w:multiLevelType w:val="hybridMultilevel"/>
    <w:tmpl w:val="531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91CD1"/>
    <w:multiLevelType w:val="hybridMultilevel"/>
    <w:tmpl w:val="53148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C06A7"/>
    <w:multiLevelType w:val="hybridMultilevel"/>
    <w:tmpl w:val="CBA6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11"/>
  </w:num>
  <w:num w:numId="6">
    <w:abstractNumId w:val="10"/>
  </w:num>
  <w:num w:numId="7">
    <w:abstractNumId w:val="2"/>
  </w:num>
  <w:num w:numId="8">
    <w:abstractNumId w:val="6"/>
  </w:num>
  <w:num w:numId="9">
    <w:abstractNumId w:val="5"/>
  </w:num>
  <w:num w:numId="10">
    <w:abstractNumId w:val="0"/>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B8"/>
    <w:rsid w:val="000252B8"/>
    <w:rsid w:val="00035575"/>
    <w:rsid w:val="000D609D"/>
    <w:rsid w:val="0014099E"/>
    <w:rsid w:val="00180A37"/>
    <w:rsid w:val="00186980"/>
    <w:rsid w:val="0024146C"/>
    <w:rsid w:val="002B6724"/>
    <w:rsid w:val="002C348F"/>
    <w:rsid w:val="002C7CEA"/>
    <w:rsid w:val="002D3287"/>
    <w:rsid w:val="002D5D46"/>
    <w:rsid w:val="002D6BF6"/>
    <w:rsid w:val="003020F9"/>
    <w:rsid w:val="004372E8"/>
    <w:rsid w:val="00466C0E"/>
    <w:rsid w:val="004D686B"/>
    <w:rsid w:val="0051390A"/>
    <w:rsid w:val="00545369"/>
    <w:rsid w:val="00593D4D"/>
    <w:rsid w:val="006646FA"/>
    <w:rsid w:val="0067471A"/>
    <w:rsid w:val="006C4F72"/>
    <w:rsid w:val="006D4AB5"/>
    <w:rsid w:val="007E540F"/>
    <w:rsid w:val="00806B12"/>
    <w:rsid w:val="00870DFB"/>
    <w:rsid w:val="00894021"/>
    <w:rsid w:val="008A352B"/>
    <w:rsid w:val="00957FC8"/>
    <w:rsid w:val="00973914"/>
    <w:rsid w:val="00A0319D"/>
    <w:rsid w:val="00A15B29"/>
    <w:rsid w:val="00A162DE"/>
    <w:rsid w:val="00A709F9"/>
    <w:rsid w:val="00AB3454"/>
    <w:rsid w:val="00C82FC0"/>
    <w:rsid w:val="00D010C4"/>
    <w:rsid w:val="00E361F6"/>
    <w:rsid w:val="00E37701"/>
    <w:rsid w:val="00E7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068E5"/>
  <w15:chartTrackingRefBased/>
  <w15:docId w15:val="{8CC067FB-656B-4AE7-9067-B39414FF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0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2B8"/>
    <w:pPr>
      <w:spacing w:after="0" w:line="240" w:lineRule="auto"/>
    </w:pPr>
  </w:style>
  <w:style w:type="paragraph" w:styleId="ListParagraph">
    <w:name w:val="List Paragraph"/>
    <w:basedOn w:val="Normal"/>
    <w:uiPriority w:val="34"/>
    <w:qFormat/>
    <w:rsid w:val="0067471A"/>
    <w:pPr>
      <w:spacing w:after="0" w:line="240" w:lineRule="auto"/>
      <w:ind w:left="720"/>
      <w:contextualSpacing/>
    </w:pPr>
    <w:rPr>
      <w:lang w:val="en-GB"/>
    </w:rPr>
  </w:style>
  <w:style w:type="character" w:styleId="Hyperlink">
    <w:name w:val="Hyperlink"/>
    <w:basedOn w:val="DefaultParagraphFont"/>
    <w:uiPriority w:val="99"/>
    <w:unhideWhenUsed/>
    <w:rsid w:val="00D010C4"/>
    <w:rPr>
      <w:color w:val="0563C1"/>
      <w:u w:val="single"/>
    </w:rPr>
  </w:style>
  <w:style w:type="paragraph" w:customStyle="1" w:styleId="xmsonormal">
    <w:name w:val="x_msonormal"/>
    <w:basedOn w:val="Normal"/>
    <w:rsid w:val="00D010C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D010C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010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0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010C4"/>
    <w:rPr>
      <w:sz w:val="16"/>
      <w:szCs w:val="16"/>
    </w:rPr>
  </w:style>
  <w:style w:type="paragraph" w:styleId="CommentText">
    <w:name w:val="annotation text"/>
    <w:basedOn w:val="Normal"/>
    <w:link w:val="CommentTextChar"/>
    <w:uiPriority w:val="99"/>
    <w:semiHidden/>
    <w:unhideWhenUsed/>
    <w:rsid w:val="00D010C4"/>
    <w:pPr>
      <w:spacing w:line="240" w:lineRule="auto"/>
    </w:pPr>
    <w:rPr>
      <w:sz w:val="20"/>
      <w:szCs w:val="20"/>
    </w:rPr>
  </w:style>
  <w:style w:type="character" w:customStyle="1" w:styleId="CommentTextChar">
    <w:name w:val="Comment Text Char"/>
    <w:basedOn w:val="DefaultParagraphFont"/>
    <w:link w:val="CommentText"/>
    <w:uiPriority w:val="99"/>
    <w:semiHidden/>
    <w:rsid w:val="00D010C4"/>
    <w:rPr>
      <w:sz w:val="20"/>
      <w:szCs w:val="20"/>
    </w:rPr>
  </w:style>
  <w:style w:type="paragraph" w:styleId="CommentSubject">
    <w:name w:val="annotation subject"/>
    <w:basedOn w:val="CommentText"/>
    <w:next w:val="CommentText"/>
    <w:link w:val="CommentSubjectChar"/>
    <w:uiPriority w:val="99"/>
    <w:semiHidden/>
    <w:unhideWhenUsed/>
    <w:rsid w:val="00D010C4"/>
    <w:rPr>
      <w:b/>
      <w:bCs/>
    </w:rPr>
  </w:style>
  <w:style w:type="character" w:customStyle="1" w:styleId="CommentSubjectChar">
    <w:name w:val="Comment Subject Char"/>
    <w:basedOn w:val="CommentTextChar"/>
    <w:link w:val="CommentSubject"/>
    <w:uiPriority w:val="99"/>
    <w:semiHidden/>
    <w:rsid w:val="00D010C4"/>
    <w:rPr>
      <w:b/>
      <w:bCs/>
      <w:sz w:val="20"/>
      <w:szCs w:val="20"/>
    </w:rPr>
  </w:style>
  <w:style w:type="paragraph" w:styleId="BalloonText">
    <w:name w:val="Balloon Text"/>
    <w:basedOn w:val="Normal"/>
    <w:link w:val="BalloonTextChar"/>
    <w:uiPriority w:val="99"/>
    <w:semiHidden/>
    <w:unhideWhenUsed/>
    <w:rsid w:val="00D01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C4"/>
    <w:rPr>
      <w:rFonts w:ascii="Segoe UI" w:hAnsi="Segoe UI" w:cs="Segoe UI"/>
      <w:sz w:val="18"/>
      <w:szCs w:val="18"/>
    </w:rPr>
  </w:style>
  <w:style w:type="character" w:styleId="UnresolvedMention">
    <w:name w:val="Unresolved Mention"/>
    <w:basedOn w:val="DefaultParagraphFont"/>
    <w:uiPriority w:val="99"/>
    <w:semiHidden/>
    <w:unhideWhenUsed/>
    <w:rsid w:val="004372E8"/>
    <w:rPr>
      <w:color w:val="605E5C"/>
      <w:shd w:val="clear" w:color="auto" w:fill="E1DFDD"/>
    </w:rPr>
  </w:style>
  <w:style w:type="paragraph" w:customStyle="1" w:styleId="yiv2884773491msonormal">
    <w:name w:val="yiv2884773491msonormal"/>
    <w:basedOn w:val="Normal"/>
    <w:rsid w:val="00894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4503">
      <w:bodyDiv w:val="1"/>
      <w:marLeft w:val="0"/>
      <w:marRight w:val="0"/>
      <w:marTop w:val="0"/>
      <w:marBottom w:val="0"/>
      <w:divBdr>
        <w:top w:val="none" w:sz="0" w:space="0" w:color="auto"/>
        <w:left w:val="none" w:sz="0" w:space="0" w:color="auto"/>
        <w:bottom w:val="none" w:sz="0" w:space="0" w:color="auto"/>
        <w:right w:val="none" w:sz="0" w:space="0" w:color="auto"/>
      </w:divBdr>
    </w:div>
    <w:div w:id="665015386">
      <w:bodyDiv w:val="1"/>
      <w:marLeft w:val="0"/>
      <w:marRight w:val="0"/>
      <w:marTop w:val="0"/>
      <w:marBottom w:val="0"/>
      <w:divBdr>
        <w:top w:val="none" w:sz="0" w:space="0" w:color="auto"/>
        <w:left w:val="none" w:sz="0" w:space="0" w:color="auto"/>
        <w:bottom w:val="none" w:sz="0" w:space="0" w:color="auto"/>
        <w:right w:val="none" w:sz="0" w:space="0" w:color="auto"/>
      </w:divBdr>
    </w:div>
    <w:div w:id="837385947">
      <w:bodyDiv w:val="1"/>
      <w:marLeft w:val="0"/>
      <w:marRight w:val="0"/>
      <w:marTop w:val="0"/>
      <w:marBottom w:val="0"/>
      <w:divBdr>
        <w:top w:val="none" w:sz="0" w:space="0" w:color="auto"/>
        <w:left w:val="none" w:sz="0" w:space="0" w:color="auto"/>
        <w:bottom w:val="none" w:sz="0" w:space="0" w:color="auto"/>
        <w:right w:val="none" w:sz="0" w:space="0" w:color="auto"/>
      </w:divBdr>
      <w:divsChild>
        <w:div w:id="824784599">
          <w:marLeft w:val="0"/>
          <w:marRight w:val="0"/>
          <w:marTop w:val="0"/>
          <w:marBottom w:val="0"/>
          <w:divBdr>
            <w:top w:val="none" w:sz="0" w:space="0" w:color="auto"/>
            <w:left w:val="none" w:sz="0" w:space="0" w:color="auto"/>
            <w:bottom w:val="none" w:sz="0" w:space="0" w:color="auto"/>
            <w:right w:val="none" w:sz="0" w:space="0" w:color="auto"/>
          </w:divBdr>
          <w:divsChild>
            <w:div w:id="539904290">
              <w:marLeft w:val="0"/>
              <w:marRight w:val="0"/>
              <w:marTop w:val="0"/>
              <w:marBottom w:val="0"/>
              <w:divBdr>
                <w:top w:val="none" w:sz="0" w:space="0" w:color="auto"/>
                <w:left w:val="none" w:sz="0" w:space="0" w:color="auto"/>
                <w:bottom w:val="none" w:sz="0" w:space="0" w:color="auto"/>
                <w:right w:val="none" w:sz="0" w:space="0" w:color="auto"/>
              </w:divBdr>
            </w:div>
          </w:divsChild>
        </w:div>
        <w:div w:id="309485486">
          <w:marLeft w:val="0"/>
          <w:marRight w:val="0"/>
          <w:marTop w:val="0"/>
          <w:marBottom w:val="240"/>
          <w:divBdr>
            <w:top w:val="none" w:sz="0" w:space="0" w:color="auto"/>
            <w:left w:val="none" w:sz="0" w:space="0" w:color="auto"/>
            <w:bottom w:val="none" w:sz="0" w:space="0" w:color="auto"/>
            <w:right w:val="none" w:sz="0" w:space="0" w:color="auto"/>
          </w:divBdr>
          <w:divsChild>
            <w:div w:id="1312179496">
              <w:marLeft w:val="0"/>
              <w:marRight w:val="0"/>
              <w:marTop w:val="0"/>
              <w:marBottom w:val="600"/>
              <w:divBdr>
                <w:top w:val="none" w:sz="0" w:space="0" w:color="auto"/>
                <w:left w:val="none" w:sz="0" w:space="0" w:color="auto"/>
                <w:bottom w:val="none" w:sz="0" w:space="0" w:color="auto"/>
                <w:right w:val="none" w:sz="0" w:space="0" w:color="auto"/>
              </w:divBdr>
              <w:divsChild>
                <w:div w:id="1647121034">
                  <w:marLeft w:val="0"/>
                  <w:marRight w:val="0"/>
                  <w:marTop w:val="0"/>
                  <w:marBottom w:val="0"/>
                  <w:divBdr>
                    <w:top w:val="none" w:sz="0" w:space="0" w:color="auto"/>
                    <w:left w:val="none" w:sz="0" w:space="0" w:color="auto"/>
                    <w:bottom w:val="none" w:sz="0" w:space="0" w:color="auto"/>
                    <w:right w:val="none" w:sz="0" w:space="0" w:color="auto"/>
                  </w:divBdr>
                  <w:divsChild>
                    <w:div w:id="1742095824">
                      <w:marLeft w:val="0"/>
                      <w:marRight w:val="0"/>
                      <w:marTop w:val="0"/>
                      <w:marBottom w:val="0"/>
                      <w:divBdr>
                        <w:top w:val="none" w:sz="0" w:space="0" w:color="auto"/>
                        <w:left w:val="none" w:sz="0" w:space="0" w:color="auto"/>
                        <w:bottom w:val="none" w:sz="0" w:space="0" w:color="auto"/>
                        <w:right w:val="none" w:sz="0" w:space="0" w:color="auto"/>
                      </w:divBdr>
                      <w:divsChild>
                        <w:div w:id="2043821043">
                          <w:marLeft w:val="0"/>
                          <w:marRight w:val="0"/>
                          <w:marTop w:val="0"/>
                          <w:marBottom w:val="0"/>
                          <w:divBdr>
                            <w:top w:val="none" w:sz="0" w:space="0" w:color="auto"/>
                            <w:left w:val="none" w:sz="0" w:space="0" w:color="auto"/>
                            <w:bottom w:val="none" w:sz="0" w:space="0" w:color="auto"/>
                            <w:right w:val="none" w:sz="0" w:space="0" w:color="auto"/>
                          </w:divBdr>
                          <w:divsChild>
                            <w:div w:id="1558516420">
                              <w:marLeft w:val="0"/>
                              <w:marRight w:val="0"/>
                              <w:marTop w:val="0"/>
                              <w:marBottom w:val="0"/>
                              <w:divBdr>
                                <w:top w:val="none" w:sz="0" w:space="0" w:color="auto"/>
                                <w:left w:val="none" w:sz="0" w:space="0" w:color="auto"/>
                                <w:bottom w:val="none" w:sz="0" w:space="0" w:color="auto"/>
                                <w:right w:val="none" w:sz="0" w:space="0" w:color="auto"/>
                              </w:divBdr>
                              <w:divsChild>
                                <w:div w:id="1495101632">
                                  <w:marLeft w:val="0"/>
                                  <w:marRight w:val="0"/>
                                  <w:marTop w:val="0"/>
                                  <w:marBottom w:val="0"/>
                                  <w:divBdr>
                                    <w:top w:val="none" w:sz="0" w:space="0" w:color="auto"/>
                                    <w:left w:val="none" w:sz="0" w:space="0" w:color="auto"/>
                                    <w:bottom w:val="none" w:sz="0" w:space="0" w:color="auto"/>
                                    <w:right w:val="none" w:sz="0" w:space="0" w:color="auto"/>
                                  </w:divBdr>
                                  <w:divsChild>
                                    <w:div w:id="2082437668">
                                      <w:marLeft w:val="0"/>
                                      <w:marRight w:val="0"/>
                                      <w:marTop w:val="0"/>
                                      <w:marBottom w:val="0"/>
                                      <w:divBdr>
                                        <w:top w:val="none" w:sz="0" w:space="0" w:color="auto"/>
                                        <w:left w:val="none" w:sz="0" w:space="0" w:color="auto"/>
                                        <w:bottom w:val="none" w:sz="0" w:space="0" w:color="auto"/>
                                        <w:right w:val="none" w:sz="0" w:space="0" w:color="auto"/>
                                      </w:divBdr>
                                    </w:div>
                                  </w:divsChild>
                                </w:div>
                                <w:div w:id="475686027">
                                  <w:marLeft w:val="0"/>
                                  <w:marRight w:val="0"/>
                                  <w:marTop w:val="0"/>
                                  <w:marBottom w:val="0"/>
                                  <w:divBdr>
                                    <w:top w:val="none" w:sz="0" w:space="0" w:color="auto"/>
                                    <w:left w:val="none" w:sz="0" w:space="0" w:color="auto"/>
                                    <w:bottom w:val="none" w:sz="0" w:space="0" w:color="auto"/>
                                    <w:right w:val="none" w:sz="0" w:space="0" w:color="auto"/>
                                  </w:divBdr>
                                  <w:divsChild>
                                    <w:div w:id="749354469">
                                      <w:marLeft w:val="0"/>
                                      <w:marRight w:val="0"/>
                                      <w:marTop w:val="0"/>
                                      <w:marBottom w:val="0"/>
                                      <w:divBdr>
                                        <w:top w:val="none" w:sz="0" w:space="0" w:color="auto"/>
                                        <w:left w:val="none" w:sz="0" w:space="0" w:color="auto"/>
                                        <w:bottom w:val="none" w:sz="0" w:space="0" w:color="auto"/>
                                        <w:right w:val="none" w:sz="0" w:space="0" w:color="auto"/>
                                      </w:divBdr>
                                    </w:div>
                                  </w:divsChild>
                                </w:div>
                                <w:div w:id="1471634011">
                                  <w:marLeft w:val="0"/>
                                  <w:marRight w:val="0"/>
                                  <w:marTop w:val="0"/>
                                  <w:marBottom w:val="0"/>
                                  <w:divBdr>
                                    <w:top w:val="none" w:sz="0" w:space="0" w:color="auto"/>
                                    <w:left w:val="none" w:sz="0" w:space="0" w:color="auto"/>
                                    <w:bottom w:val="none" w:sz="0" w:space="0" w:color="auto"/>
                                    <w:right w:val="none" w:sz="0" w:space="0" w:color="auto"/>
                                  </w:divBdr>
                                  <w:divsChild>
                                    <w:div w:id="1423334419">
                                      <w:marLeft w:val="0"/>
                                      <w:marRight w:val="0"/>
                                      <w:marTop w:val="0"/>
                                      <w:marBottom w:val="0"/>
                                      <w:divBdr>
                                        <w:top w:val="none" w:sz="0" w:space="0" w:color="auto"/>
                                        <w:left w:val="none" w:sz="0" w:space="0" w:color="auto"/>
                                        <w:bottom w:val="none" w:sz="0" w:space="0" w:color="auto"/>
                                        <w:right w:val="none" w:sz="0" w:space="0" w:color="auto"/>
                                      </w:divBdr>
                                    </w:div>
                                  </w:divsChild>
                                </w:div>
                                <w:div w:id="2101095716">
                                  <w:marLeft w:val="0"/>
                                  <w:marRight w:val="0"/>
                                  <w:marTop w:val="0"/>
                                  <w:marBottom w:val="0"/>
                                  <w:divBdr>
                                    <w:top w:val="none" w:sz="0" w:space="0" w:color="auto"/>
                                    <w:left w:val="none" w:sz="0" w:space="0" w:color="auto"/>
                                    <w:bottom w:val="none" w:sz="0" w:space="0" w:color="auto"/>
                                    <w:right w:val="none" w:sz="0" w:space="0" w:color="auto"/>
                                  </w:divBdr>
                                  <w:divsChild>
                                    <w:div w:id="2106337162">
                                      <w:marLeft w:val="0"/>
                                      <w:marRight w:val="0"/>
                                      <w:marTop w:val="0"/>
                                      <w:marBottom w:val="0"/>
                                      <w:divBdr>
                                        <w:top w:val="none" w:sz="0" w:space="0" w:color="auto"/>
                                        <w:left w:val="none" w:sz="0" w:space="0" w:color="auto"/>
                                        <w:bottom w:val="none" w:sz="0" w:space="0" w:color="auto"/>
                                        <w:right w:val="none" w:sz="0" w:space="0" w:color="auto"/>
                                      </w:divBdr>
                                    </w:div>
                                  </w:divsChild>
                                </w:div>
                                <w:div w:id="1559780330">
                                  <w:marLeft w:val="0"/>
                                  <w:marRight w:val="0"/>
                                  <w:marTop w:val="0"/>
                                  <w:marBottom w:val="0"/>
                                  <w:divBdr>
                                    <w:top w:val="none" w:sz="0" w:space="0" w:color="auto"/>
                                    <w:left w:val="none" w:sz="0" w:space="0" w:color="auto"/>
                                    <w:bottom w:val="none" w:sz="0" w:space="0" w:color="auto"/>
                                    <w:right w:val="none" w:sz="0" w:space="0" w:color="auto"/>
                                  </w:divBdr>
                                  <w:divsChild>
                                    <w:div w:id="1517116208">
                                      <w:marLeft w:val="0"/>
                                      <w:marRight w:val="0"/>
                                      <w:marTop w:val="0"/>
                                      <w:marBottom w:val="0"/>
                                      <w:divBdr>
                                        <w:top w:val="none" w:sz="0" w:space="0" w:color="auto"/>
                                        <w:left w:val="none" w:sz="0" w:space="0" w:color="auto"/>
                                        <w:bottom w:val="none" w:sz="0" w:space="0" w:color="auto"/>
                                        <w:right w:val="none" w:sz="0" w:space="0" w:color="auto"/>
                                      </w:divBdr>
                                    </w:div>
                                  </w:divsChild>
                                </w:div>
                                <w:div w:id="722828138">
                                  <w:marLeft w:val="0"/>
                                  <w:marRight w:val="0"/>
                                  <w:marTop w:val="0"/>
                                  <w:marBottom w:val="0"/>
                                  <w:divBdr>
                                    <w:top w:val="none" w:sz="0" w:space="0" w:color="auto"/>
                                    <w:left w:val="none" w:sz="0" w:space="0" w:color="auto"/>
                                    <w:bottom w:val="none" w:sz="0" w:space="0" w:color="auto"/>
                                    <w:right w:val="none" w:sz="0" w:space="0" w:color="auto"/>
                                  </w:divBdr>
                                  <w:divsChild>
                                    <w:div w:id="1175143667">
                                      <w:marLeft w:val="0"/>
                                      <w:marRight w:val="0"/>
                                      <w:marTop w:val="0"/>
                                      <w:marBottom w:val="0"/>
                                      <w:divBdr>
                                        <w:top w:val="none" w:sz="0" w:space="0" w:color="auto"/>
                                        <w:left w:val="none" w:sz="0" w:space="0" w:color="auto"/>
                                        <w:bottom w:val="none" w:sz="0" w:space="0" w:color="auto"/>
                                        <w:right w:val="none" w:sz="0" w:space="0" w:color="auto"/>
                                      </w:divBdr>
                                    </w:div>
                                  </w:divsChild>
                                </w:div>
                                <w:div w:id="659506006">
                                  <w:marLeft w:val="0"/>
                                  <w:marRight w:val="0"/>
                                  <w:marTop w:val="0"/>
                                  <w:marBottom w:val="0"/>
                                  <w:divBdr>
                                    <w:top w:val="none" w:sz="0" w:space="0" w:color="auto"/>
                                    <w:left w:val="none" w:sz="0" w:space="0" w:color="auto"/>
                                    <w:bottom w:val="none" w:sz="0" w:space="0" w:color="auto"/>
                                    <w:right w:val="none" w:sz="0" w:space="0" w:color="auto"/>
                                  </w:divBdr>
                                  <w:divsChild>
                                    <w:div w:id="953445525">
                                      <w:marLeft w:val="0"/>
                                      <w:marRight w:val="0"/>
                                      <w:marTop w:val="0"/>
                                      <w:marBottom w:val="0"/>
                                      <w:divBdr>
                                        <w:top w:val="none" w:sz="0" w:space="0" w:color="auto"/>
                                        <w:left w:val="none" w:sz="0" w:space="0" w:color="auto"/>
                                        <w:bottom w:val="none" w:sz="0" w:space="0" w:color="auto"/>
                                        <w:right w:val="none" w:sz="0" w:space="0" w:color="auto"/>
                                      </w:divBdr>
                                    </w:div>
                                  </w:divsChild>
                                </w:div>
                                <w:div w:id="1038507206">
                                  <w:marLeft w:val="0"/>
                                  <w:marRight w:val="0"/>
                                  <w:marTop w:val="0"/>
                                  <w:marBottom w:val="0"/>
                                  <w:divBdr>
                                    <w:top w:val="none" w:sz="0" w:space="0" w:color="auto"/>
                                    <w:left w:val="none" w:sz="0" w:space="0" w:color="auto"/>
                                    <w:bottom w:val="none" w:sz="0" w:space="0" w:color="auto"/>
                                    <w:right w:val="none" w:sz="0" w:space="0" w:color="auto"/>
                                  </w:divBdr>
                                  <w:divsChild>
                                    <w:div w:id="1729379380">
                                      <w:marLeft w:val="0"/>
                                      <w:marRight w:val="0"/>
                                      <w:marTop w:val="0"/>
                                      <w:marBottom w:val="0"/>
                                      <w:divBdr>
                                        <w:top w:val="none" w:sz="0" w:space="0" w:color="auto"/>
                                        <w:left w:val="none" w:sz="0" w:space="0" w:color="auto"/>
                                        <w:bottom w:val="none" w:sz="0" w:space="0" w:color="auto"/>
                                        <w:right w:val="none" w:sz="0" w:space="0" w:color="auto"/>
                                      </w:divBdr>
                                    </w:div>
                                  </w:divsChild>
                                </w:div>
                                <w:div w:id="704644434">
                                  <w:marLeft w:val="0"/>
                                  <w:marRight w:val="0"/>
                                  <w:marTop w:val="0"/>
                                  <w:marBottom w:val="0"/>
                                  <w:divBdr>
                                    <w:top w:val="none" w:sz="0" w:space="0" w:color="auto"/>
                                    <w:left w:val="none" w:sz="0" w:space="0" w:color="auto"/>
                                    <w:bottom w:val="none" w:sz="0" w:space="0" w:color="auto"/>
                                    <w:right w:val="none" w:sz="0" w:space="0" w:color="auto"/>
                                  </w:divBdr>
                                  <w:divsChild>
                                    <w:div w:id="999388826">
                                      <w:marLeft w:val="0"/>
                                      <w:marRight w:val="0"/>
                                      <w:marTop w:val="0"/>
                                      <w:marBottom w:val="0"/>
                                      <w:divBdr>
                                        <w:top w:val="none" w:sz="0" w:space="0" w:color="auto"/>
                                        <w:left w:val="none" w:sz="0" w:space="0" w:color="auto"/>
                                        <w:bottom w:val="none" w:sz="0" w:space="0" w:color="auto"/>
                                        <w:right w:val="none" w:sz="0" w:space="0" w:color="auto"/>
                                      </w:divBdr>
                                    </w:div>
                                  </w:divsChild>
                                </w:div>
                                <w:div w:id="124853306">
                                  <w:marLeft w:val="0"/>
                                  <w:marRight w:val="0"/>
                                  <w:marTop w:val="0"/>
                                  <w:marBottom w:val="0"/>
                                  <w:divBdr>
                                    <w:top w:val="none" w:sz="0" w:space="0" w:color="auto"/>
                                    <w:left w:val="none" w:sz="0" w:space="0" w:color="auto"/>
                                    <w:bottom w:val="none" w:sz="0" w:space="0" w:color="auto"/>
                                    <w:right w:val="none" w:sz="0" w:space="0" w:color="auto"/>
                                  </w:divBdr>
                                  <w:divsChild>
                                    <w:div w:id="363290741">
                                      <w:marLeft w:val="0"/>
                                      <w:marRight w:val="0"/>
                                      <w:marTop w:val="0"/>
                                      <w:marBottom w:val="0"/>
                                      <w:divBdr>
                                        <w:top w:val="none" w:sz="0" w:space="0" w:color="auto"/>
                                        <w:left w:val="none" w:sz="0" w:space="0" w:color="auto"/>
                                        <w:bottom w:val="none" w:sz="0" w:space="0" w:color="auto"/>
                                        <w:right w:val="none" w:sz="0" w:space="0" w:color="auto"/>
                                      </w:divBdr>
                                    </w:div>
                                  </w:divsChild>
                                </w:div>
                                <w:div w:id="1925527918">
                                  <w:marLeft w:val="0"/>
                                  <w:marRight w:val="0"/>
                                  <w:marTop w:val="0"/>
                                  <w:marBottom w:val="0"/>
                                  <w:divBdr>
                                    <w:top w:val="none" w:sz="0" w:space="0" w:color="auto"/>
                                    <w:left w:val="none" w:sz="0" w:space="0" w:color="auto"/>
                                    <w:bottom w:val="none" w:sz="0" w:space="0" w:color="auto"/>
                                    <w:right w:val="none" w:sz="0" w:space="0" w:color="auto"/>
                                  </w:divBdr>
                                  <w:divsChild>
                                    <w:div w:id="15660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43885">
              <w:marLeft w:val="0"/>
              <w:marRight w:val="0"/>
              <w:marTop w:val="0"/>
              <w:marBottom w:val="600"/>
              <w:divBdr>
                <w:top w:val="none" w:sz="0" w:space="0" w:color="auto"/>
                <w:left w:val="none" w:sz="0" w:space="0" w:color="auto"/>
                <w:bottom w:val="none" w:sz="0" w:space="0" w:color="auto"/>
                <w:right w:val="none" w:sz="0" w:space="0" w:color="auto"/>
              </w:divBdr>
              <w:divsChild>
                <w:div w:id="2087456847">
                  <w:marLeft w:val="0"/>
                  <w:marRight w:val="0"/>
                  <w:marTop w:val="0"/>
                  <w:marBottom w:val="0"/>
                  <w:divBdr>
                    <w:top w:val="none" w:sz="0" w:space="0" w:color="auto"/>
                    <w:left w:val="none" w:sz="0" w:space="0" w:color="auto"/>
                    <w:bottom w:val="none" w:sz="0" w:space="0" w:color="auto"/>
                    <w:right w:val="none" w:sz="0" w:space="0" w:color="auto"/>
                  </w:divBdr>
                  <w:divsChild>
                    <w:div w:id="1605570547">
                      <w:marLeft w:val="0"/>
                      <w:marRight w:val="0"/>
                      <w:marTop w:val="0"/>
                      <w:marBottom w:val="0"/>
                      <w:divBdr>
                        <w:top w:val="none" w:sz="0" w:space="0" w:color="auto"/>
                        <w:left w:val="none" w:sz="0" w:space="0" w:color="auto"/>
                        <w:bottom w:val="none" w:sz="0" w:space="0" w:color="auto"/>
                        <w:right w:val="none" w:sz="0" w:space="0" w:color="auto"/>
                      </w:divBdr>
                      <w:divsChild>
                        <w:div w:id="1914653837">
                          <w:marLeft w:val="0"/>
                          <w:marRight w:val="0"/>
                          <w:marTop w:val="0"/>
                          <w:marBottom w:val="0"/>
                          <w:divBdr>
                            <w:top w:val="none" w:sz="0" w:space="0" w:color="auto"/>
                            <w:left w:val="none" w:sz="0" w:space="0" w:color="auto"/>
                            <w:bottom w:val="none" w:sz="0" w:space="0" w:color="auto"/>
                            <w:right w:val="none" w:sz="0" w:space="0" w:color="auto"/>
                          </w:divBdr>
                          <w:divsChild>
                            <w:div w:id="1084841330">
                              <w:marLeft w:val="0"/>
                              <w:marRight w:val="0"/>
                              <w:marTop w:val="0"/>
                              <w:marBottom w:val="0"/>
                              <w:divBdr>
                                <w:top w:val="none" w:sz="0" w:space="0" w:color="auto"/>
                                <w:left w:val="none" w:sz="0" w:space="0" w:color="auto"/>
                                <w:bottom w:val="none" w:sz="0" w:space="0" w:color="auto"/>
                                <w:right w:val="none" w:sz="0" w:space="0" w:color="auto"/>
                              </w:divBdr>
                              <w:divsChild>
                                <w:div w:id="275062989">
                                  <w:marLeft w:val="0"/>
                                  <w:marRight w:val="0"/>
                                  <w:marTop w:val="0"/>
                                  <w:marBottom w:val="0"/>
                                  <w:divBdr>
                                    <w:top w:val="none" w:sz="0" w:space="0" w:color="auto"/>
                                    <w:left w:val="none" w:sz="0" w:space="0" w:color="auto"/>
                                    <w:bottom w:val="none" w:sz="0" w:space="0" w:color="auto"/>
                                    <w:right w:val="none" w:sz="0" w:space="0" w:color="auto"/>
                                  </w:divBdr>
                                  <w:divsChild>
                                    <w:div w:id="446388080">
                                      <w:marLeft w:val="0"/>
                                      <w:marRight w:val="0"/>
                                      <w:marTop w:val="0"/>
                                      <w:marBottom w:val="0"/>
                                      <w:divBdr>
                                        <w:top w:val="none" w:sz="0" w:space="0" w:color="auto"/>
                                        <w:left w:val="none" w:sz="0" w:space="0" w:color="auto"/>
                                        <w:bottom w:val="none" w:sz="0" w:space="0" w:color="auto"/>
                                        <w:right w:val="none" w:sz="0" w:space="0" w:color="auto"/>
                                      </w:divBdr>
                                    </w:div>
                                  </w:divsChild>
                                </w:div>
                                <w:div w:id="314723414">
                                  <w:marLeft w:val="0"/>
                                  <w:marRight w:val="0"/>
                                  <w:marTop w:val="0"/>
                                  <w:marBottom w:val="0"/>
                                  <w:divBdr>
                                    <w:top w:val="none" w:sz="0" w:space="0" w:color="auto"/>
                                    <w:left w:val="none" w:sz="0" w:space="0" w:color="auto"/>
                                    <w:bottom w:val="none" w:sz="0" w:space="0" w:color="auto"/>
                                    <w:right w:val="none" w:sz="0" w:space="0" w:color="auto"/>
                                  </w:divBdr>
                                  <w:divsChild>
                                    <w:div w:id="1459687866">
                                      <w:marLeft w:val="0"/>
                                      <w:marRight w:val="0"/>
                                      <w:marTop w:val="0"/>
                                      <w:marBottom w:val="0"/>
                                      <w:divBdr>
                                        <w:top w:val="none" w:sz="0" w:space="0" w:color="auto"/>
                                        <w:left w:val="none" w:sz="0" w:space="0" w:color="auto"/>
                                        <w:bottom w:val="none" w:sz="0" w:space="0" w:color="auto"/>
                                        <w:right w:val="none" w:sz="0" w:space="0" w:color="auto"/>
                                      </w:divBdr>
                                    </w:div>
                                  </w:divsChild>
                                </w:div>
                                <w:div w:id="909929522">
                                  <w:marLeft w:val="0"/>
                                  <w:marRight w:val="0"/>
                                  <w:marTop w:val="0"/>
                                  <w:marBottom w:val="0"/>
                                  <w:divBdr>
                                    <w:top w:val="none" w:sz="0" w:space="0" w:color="auto"/>
                                    <w:left w:val="none" w:sz="0" w:space="0" w:color="auto"/>
                                    <w:bottom w:val="none" w:sz="0" w:space="0" w:color="auto"/>
                                    <w:right w:val="none" w:sz="0" w:space="0" w:color="auto"/>
                                  </w:divBdr>
                                  <w:divsChild>
                                    <w:div w:id="259415411">
                                      <w:marLeft w:val="0"/>
                                      <w:marRight w:val="0"/>
                                      <w:marTop w:val="0"/>
                                      <w:marBottom w:val="0"/>
                                      <w:divBdr>
                                        <w:top w:val="none" w:sz="0" w:space="0" w:color="auto"/>
                                        <w:left w:val="none" w:sz="0" w:space="0" w:color="auto"/>
                                        <w:bottom w:val="none" w:sz="0" w:space="0" w:color="auto"/>
                                        <w:right w:val="none" w:sz="0" w:space="0" w:color="auto"/>
                                      </w:divBdr>
                                    </w:div>
                                  </w:divsChild>
                                </w:div>
                                <w:div w:id="1672217900">
                                  <w:marLeft w:val="0"/>
                                  <w:marRight w:val="0"/>
                                  <w:marTop w:val="0"/>
                                  <w:marBottom w:val="0"/>
                                  <w:divBdr>
                                    <w:top w:val="none" w:sz="0" w:space="0" w:color="auto"/>
                                    <w:left w:val="none" w:sz="0" w:space="0" w:color="auto"/>
                                    <w:bottom w:val="none" w:sz="0" w:space="0" w:color="auto"/>
                                    <w:right w:val="none" w:sz="0" w:space="0" w:color="auto"/>
                                  </w:divBdr>
                                  <w:divsChild>
                                    <w:div w:id="1367564968">
                                      <w:marLeft w:val="0"/>
                                      <w:marRight w:val="0"/>
                                      <w:marTop w:val="0"/>
                                      <w:marBottom w:val="0"/>
                                      <w:divBdr>
                                        <w:top w:val="none" w:sz="0" w:space="0" w:color="auto"/>
                                        <w:left w:val="none" w:sz="0" w:space="0" w:color="auto"/>
                                        <w:bottom w:val="none" w:sz="0" w:space="0" w:color="auto"/>
                                        <w:right w:val="none" w:sz="0" w:space="0" w:color="auto"/>
                                      </w:divBdr>
                                    </w:div>
                                  </w:divsChild>
                                </w:div>
                                <w:div w:id="1887057570">
                                  <w:marLeft w:val="0"/>
                                  <w:marRight w:val="0"/>
                                  <w:marTop w:val="0"/>
                                  <w:marBottom w:val="0"/>
                                  <w:divBdr>
                                    <w:top w:val="none" w:sz="0" w:space="0" w:color="auto"/>
                                    <w:left w:val="none" w:sz="0" w:space="0" w:color="auto"/>
                                    <w:bottom w:val="none" w:sz="0" w:space="0" w:color="auto"/>
                                    <w:right w:val="none" w:sz="0" w:space="0" w:color="auto"/>
                                  </w:divBdr>
                                  <w:divsChild>
                                    <w:div w:id="67387910">
                                      <w:marLeft w:val="0"/>
                                      <w:marRight w:val="0"/>
                                      <w:marTop w:val="0"/>
                                      <w:marBottom w:val="0"/>
                                      <w:divBdr>
                                        <w:top w:val="none" w:sz="0" w:space="0" w:color="auto"/>
                                        <w:left w:val="none" w:sz="0" w:space="0" w:color="auto"/>
                                        <w:bottom w:val="none" w:sz="0" w:space="0" w:color="auto"/>
                                        <w:right w:val="none" w:sz="0" w:space="0" w:color="auto"/>
                                      </w:divBdr>
                                    </w:div>
                                  </w:divsChild>
                                </w:div>
                                <w:div w:id="2054495489">
                                  <w:marLeft w:val="0"/>
                                  <w:marRight w:val="0"/>
                                  <w:marTop w:val="0"/>
                                  <w:marBottom w:val="0"/>
                                  <w:divBdr>
                                    <w:top w:val="none" w:sz="0" w:space="0" w:color="auto"/>
                                    <w:left w:val="none" w:sz="0" w:space="0" w:color="auto"/>
                                    <w:bottom w:val="none" w:sz="0" w:space="0" w:color="auto"/>
                                    <w:right w:val="none" w:sz="0" w:space="0" w:color="auto"/>
                                  </w:divBdr>
                                  <w:divsChild>
                                    <w:div w:id="41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95778">
              <w:marLeft w:val="0"/>
              <w:marRight w:val="0"/>
              <w:marTop w:val="0"/>
              <w:marBottom w:val="600"/>
              <w:divBdr>
                <w:top w:val="none" w:sz="0" w:space="0" w:color="auto"/>
                <w:left w:val="none" w:sz="0" w:space="0" w:color="auto"/>
                <w:bottom w:val="none" w:sz="0" w:space="0" w:color="auto"/>
                <w:right w:val="none" w:sz="0" w:space="0" w:color="auto"/>
              </w:divBdr>
              <w:divsChild>
                <w:div w:id="431824588">
                  <w:marLeft w:val="0"/>
                  <w:marRight w:val="0"/>
                  <w:marTop w:val="0"/>
                  <w:marBottom w:val="0"/>
                  <w:divBdr>
                    <w:top w:val="none" w:sz="0" w:space="0" w:color="auto"/>
                    <w:left w:val="none" w:sz="0" w:space="0" w:color="auto"/>
                    <w:bottom w:val="none" w:sz="0" w:space="0" w:color="auto"/>
                    <w:right w:val="none" w:sz="0" w:space="0" w:color="auto"/>
                  </w:divBdr>
                  <w:divsChild>
                    <w:div w:id="342168271">
                      <w:marLeft w:val="0"/>
                      <w:marRight w:val="0"/>
                      <w:marTop w:val="0"/>
                      <w:marBottom w:val="0"/>
                      <w:divBdr>
                        <w:top w:val="none" w:sz="0" w:space="0" w:color="auto"/>
                        <w:left w:val="none" w:sz="0" w:space="0" w:color="auto"/>
                        <w:bottom w:val="none" w:sz="0" w:space="0" w:color="auto"/>
                        <w:right w:val="none" w:sz="0" w:space="0" w:color="auto"/>
                      </w:divBdr>
                      <w:divsChild>
                        <w:div w:id="679114667">
                          <w:marLeft w:val="0"/>
                          <w:marRight w:val="0"/>
                          <w:marTop w:val="0"/>
                          <w:marBottom w:val="0"/>
                          <w:divBdr>
                            <w:top w:val="none" w:sz="0" w:space="0" w:color="auto"/>
                            <w:left w:val="none" w:sz="0" w:space="0" w:color="auto"/>
                            <w:bottom w:val="none" w:sz="0" w:space="0" w:color="auto"/>
                            <w:right w:val="none" w:sz="0" w:space="0" w:color="auto"/>
                          </w:divBdr>
                          <w:divsChild>
                            <w:div w:id="1250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01984">
              <w:marLeft w:val="0"/>
              <w:marRight w:val="0"/>
              <w:marTop w:val="0"/>
              <w:marBottom w:val="600"/>
              <w:divBdr>
                <w:top w:val="none" w:sz="0" w:space="0" w:color="auto"/>
                <w:left w:val="none" w:sz="0" w:space="0" w:color="auto"/>
                <w:bottom w:val="none" w:sz="0" w:space="0" w:color="auto"/>
                <w:right w:val="none" w:sz="0" w:space="0" w:color="auto"/>
              </w:divBdr>
              <w:divsChild>
                <w:div w:id="966164107">
                  <w:marLeft w:val="0"/>
                  <w:marRight w:val="0"/>
                  <w:marTop w:val="0"/>
                  <w:marBottom w:val="0"/>
                  <w:divBdr>
                    <w:top w:val="none" w:sz="0" w:space="0" w:color="auto"/>
                    <w:left w:val="none" w:sz="0" w:space="0" w:color="auto"/>
                    <w:bottom w:val="none" w:sz="0" w:space="0" w:color="auto"/>
                    <w:right w:val="none" w:sz="0" w:space="0" w:color="auto"/>
                  </w:divBdr>
                  <w:divsChild>
                    <w:div w:id="1855224892">
                      <w:marLeft w:val="0"/>
                      <w:marRight w:val="0"/>
                      <w:marTop w:val="0"/>
                      <w:marBottom w:val="0"/>
                      <w:divBdr>
                        <w:top w:val="none" w:sz="0" w:space="0" w:color="auto"/>
                        <w:left w:val="none" w:sz="0" w:space="0" w:color="auto"/>
                        <w:bottom w:val="none" w:sz="0" w:space="0" w:color="auto"/>
                        <w:right w:val="none" w:sz="0" w:space="0" w:color="auto"/>
                      </w:divBdr>
                      <w:divsChild>
                        <w:div w:id="1298757516">
                          <w:marLeft w:val="0"/>
                          <w:marRight w:val="0"/>
                          <w:marTop w:val="0"/>
                          <w:marBottom w:val="0"/>
                          <w:divBdr>
                            <w:top w:val="none" w:sz="0" w:space="0" w:color="auto"/>
                            <w:left w:val="none" w:sz="0" w:space="0" w:color="auto"/>
                            <w:bottom w:val="none" w:sz="0" w:space="0" w:color="auto"/>
                            <w:right w:val="none" w:sz="0" w:space="0" w:color="auto"/>
                          </w:divBdr>
                          <w:divsChild>
                            <w:div w:id="1271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6020">
              <w:marLeft w:val="0"/>
              <w:marRight w:val="0"/>
              <w:marTop w:val="0"/>
              <w:marBottom w:val="600"/>
              <w:divBdr>
                <w:top w:val="none" w:sz="0" w:space="0" w:color="auto"/>
                <w:left w:val="none" w:sz="0" w:space="0" w:color="auto"/>
                <w:bottom w:val="none" w:sz="0" w:space="0" w:color="auto"/>
                <w:right w:val="none" w:sz="0" w:space="0" w:color="auto"/>
              </w:divBdr>
              <w:divsChild>
                <w:div w:id="1546484592">
                  <w:marLeft w:val="0"/>
                  <w:marRight w:val="0"/>
                  <w:marTop w:val="0"/>
                  <w:marBottom w:val="0"/>
                  <w:divBdr>
                    <w:top w:val="none" w:sz="0" w:space="0" w:color="auto"/>
                    <w:left w:val="none" w:sz="0" w:space="0" w:color="auto"/>
                    <w:bottom w:val="none" w:sz="0" w:space="0" w:color="auto"/>
                    <w:right w:val="none" w:sz="0" w:space="0" w:color="auto"/>
                  </w:divBdr>
                  <w:divsChild>
                    <w:div w:id="1026172312">
                      <w:marLeft w:val="0"/>
                      <w:marRight w:val="0"/>
                      <w:marTop w:val="0"/>
                      <w:marBottom w:val="0"/>
                      <w:divBdr>
                        <w:top w:val="none" w:sz="0" w:space="0" w:color="auto"/>
                        <w:left w:val="none" w:sz="0" w:space="0" w:color="auto"/>
                        <w:bottom w:val="none" w:sz="0" w:space="0" w:color="auto"/>
                        <w:right w:val="none" w:sz="0" w:space="0" w:color="auto"/>
                      </w:divBdr>
                      <w:divsChild>
                        <w:div w:id="643005864">
                          <w:marLeft w:val="0"/>
                          <w:marRight w:val="0"/>
                          <w:marTop w:val="0"/>
                          <w:marBottom w:val="0"/>
                          <w:divBdr>
                            <w:top w:val="none" w:sz="0" w:space="0" w:color="auto"/>
                            <w:left w:val="none" w:sz="0" w:space="0" w:color="auto"/>
                            <w:bottom w:val="none" w:sz="0" w:space="0" w:color="auto"/>
                            <w:right w:val="none" w:sz="0" w:space="0" w:color="auto"/>
                          </w:divBdr>
                          <w:divsChild>
                            <w:div w:id="10799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13292">
              <w:marLeft w:val="0"/>
              <w:marRight w:val="0"/>
              <w:marTop w:val="0"/>
              <w:marBottom w:val="600"/>
              <w:divBdr>
                <w:top w:val="none" w:sz="0" w:space="0" w:color="auto"/>
                <w:left w:val="none" w:sz="0" w:space="0" w:color="auto"/>
                <w:bottom w:val="none" w:sz="0" w:space="0" w:color="auto"/>
                <w:right w:val="none" w:sz="0" w:space="0" w:color="auto"/>
              </w:divBdr>
              <w:divsChild>
                <w:div w:id="1973511547">
                  <w:marLeft w:val="0"/>
                  <w:marRight w:val="0"/>
                  <w:marTop w:val="0"/>
                  <w:marBottom w:val="0"/>
                  <w:divBdr>
                    <w:top w:val="none" w:sz="0" w:space="0" w:color="auto"/>
                    <w:left w:val="none" w:sz="0" w:space="0" w:color="auto"/>
                    <w:bottom w:val="none" w:sz="0" w:space="0" w:color="auto"/>
                    <w:right w:val="none" w:sz="0" w:space="0" w:color="auto"/>
                  </w:divBdr>
                  <w:divsChild>
                    <w:div w:id="599608338">
                      <w:marLeft w:val="0"/>
                      <w:marRight w:val="0"/>
                      <w:marTop w:val="0"/>
                      <w:marBottom w:val="0"/>
                      <w:divBdr>
                        <w:top w:val="none" w:sz="0" w:space="0" w:color="auto"/>
                        <w:left w:val="none" w:sz="0" w:space="0" w:color="auto"/>
                        <w:bottom w:val="none" w:sz="0" w:space="0" w:color="auto"/>
                        <w:right w:val="none" w:sz="0" w:space="0" w:color="auto"/>
                      </w:divBdr>
                      <w:divsChild>
                        <w:div w:id="2109885933">
                          <w:marLeft w:val="0"/>
                          <w:marRight w:val="0"/>
                          <w:marTop w:val="0"/>
                          <w:marBottom w:val="0"/>
                          <w:divBdr>
                            <w:top w:val="none" w:sz="0" w:space="0" w:color="auto"/>
                            <w:left w:val="none" w:sz="0" w:space="0" w:color="auto"/>
                            <w:bottom w:val="none" w:sz="0" w:space="0" w:color="auto"/>
                            <w:right w:val="none" w:sz="0" w:space="0" w:color="auto"/>
                          </w:divBdr>
                          <w:divsChild>
                            <w:div w:id="779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7507">
              <w:marLeft w:val="0"/>
              <w:marRight w:val="0"/>
              <w:marTop w:val="0"/>
              <w:marBottom w:val="600"/>
              <w:divBdr>
                <w:top w:val="none" w:sz="0" w:space="0" w:color="auto"/>
                <w:left w:val="none" w:sz="0" w:space="0" w:color="auto"/>
                <w:bottom w:val="none" w:sz="0" w:space="0" w:color="auto"/>
                <w:right w:val="none" w:sz="0" w:space="0" w:color="auto"/>
              </w:divBdr>
              <w:divsChild>
                <w:div w:id="845097889">
                  <w:marLeft w:val="0"/>
                  <w:marRight w:val="0"/>
                  <w:marTop w:val="0"/>
                  <w:marBottom w:val="0"/>
                  <w:divBdr>
                    <w:top w:val="none" w:sz="0" w:space="0" w:color="auto"/>
                    <w:left w:val="none" w:sz="0" w:space="0" w:color="auto"/>
                    <w:bottom w:val="none" w:sz="0" w:space="0" w:color="auto"/>
                    <w:right w:val="none" w:sz="0" w:space="0" w:color="auto"/>
                  </w:divBdr>
                  <w:divsChild>
                    <w:div w:id="1440835602">
                      <w:marLeft w:val="0"/>
                      <w:marRight w:val="0"/>
                      <w:marTop w:val="0"/>
                      <w:marBottom w:val="0"/>
                      <w:divBdr>
                        <w:top w:val="none" w:sz="0" w:space="0" w:color="auto"/>
                        <w:left w:val="none" w:sz="0" w:space="0" w:color="auto"/>
                        <w:bottom w:val="none" w:sz="0" w:space="0" w:color="auto"/>
                        <w:right w:val="none" w:sz="0" w:space="0" w:color="auto"/>
                      </w:divBdr>
                      <w:divsChild>
                        <w:div w:id="2008511808">
                          <w:marLeft w:val="0"/>
                          <w:marRight w:val="0"/>
                          <w:marTop w:val="0"/>
                          <w:marBottom w:val="0"/>
                          <w:divBdr>
                            <w:top w:val="none" w:sz="0" w:space="0" w:color="auto"/>
                            <w:left w:val="none" w:sz="0" w:space="0" w:color="auto"/>
                            <w:bottom w:val="none" w:sz="0" w:space="0" w:color="auto"/>
                            <w:right w:val="none" w:sz="0" w:space="0" w:color="auto"/>
                          </w:divBdr>
                          <w:divsChild>
                            <w:div w:id="370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61417">
              <w:marLeft w:val="0"/>
              <w:marRight w:val="0"/>
              <w:marTop w:val="0"/>
              <w:marBottom w:val="600"/>
              <w:divBdr>
                <w:top w:val="none" w:sz="0" w:space="0" w:color="auto"/>
                <w:left w:val="none" w:sz="0" w:space="0" w:color="auto"/>
                <w:bottom w:val="none" w:sz="0" w:space="0" w:color="auto"/>
                <w:right w:val="none" w:sz="0" w:space="0" w:color="auto"/>
              </w:divBdr>
              <w:divsChild>
                <w:div w:id="1070228175">
                  <w:marLeft w:val="0"/>
                  <w:marRight w:val="0"/>
                  <w:marTop w:val="0"/>
                  <w:marBottom w:val="0"/>
                  <w:divBdr>
                    <w:top w:val="none" w:sz="0" w:space="0" w:color="auto"/>
                    <w:left w:val="none" w:sz="0" w:space="0" w:color="auto"/>
                    <w:bottom w:val="none" w:sz="0" w:space="0" w:color="auto"/>
                    <w:right w:val="none" w:sz="0" w:space="0" w:color="auto"/>
                  </w:divBdr>
                  <w:divsChild>
                    <w:div w:id="1454833739">
                      <w:marLeft w:val="0"/>
                      <w:marRight w:val="0"/>
                      <w:marTop w:val="0"/>
                      <w:marBottom w:val="0"/>
                      <w:divBdr>
                        <w:top w:val="none" w:sz="0" w:space="0" w:color="auto"/>
                        <w:left w:val="none" w:sz="0" w:space="0" w:color="auto"/>
                        <w:bottom w:val="none" w:sz="0" w:space="0" w:color="auto"/>
                        <w:right w:val="none" w:sz="0" w:space="0" w:color="auto"/>
                      </w:divBdr>
                      <w:divsChild>
                        <w:div w:id="429863375">
                          <w:marLeft w:val="0"/>
                          <w:marRight w:val="0"/>
                          <w:marTop w:val="0"/>
                          <w:marBottom w:val="0"/>
                          <w:divBdr>
                            <w:top w:val="none" w:sz="0" w:space="0" w:color="auto"/>
                            <w:left w:val="none" w:sz="0" w:space="0" w:color="auto"/>
                            <w:bottom w:val="none" w:sz="0" w:space="0" w:color="auto"/>
                            <w:right w:val="none" w:sz="0" w:space="0" w:color="auto"/>
                          </w:divBdr>
                          <w:divsChild>
                            <w:div w:id="1312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93058">
              <w:marLeft w:val="0"/>
              <w:marRight w:val="0"/>
              <w:marTop w:val="0"/>
              <w:marBottom w:val="600"/>
              <w:divBdr>
                <w:top w:val="none" w:sz="0" w:space="0" w:color="auto"/>
                <w:left w:val="none" w:sz="0" w:space="0" w:color="auto"/>
                <w:bottom w:val="none" w:sz="0" w:space="0" w:color="auto"/>
                <w:right w:val="none" w:sz="0" w:space="0" w:color="auto"/>
              </w:divBdr>
              <w:divsChild>
                <w:div w:id="597102370">
                  <w:marLeft w:val="0"/>
                  <w:marRight w:val="0"/>
                  <w:marTop w:val="0"/>
                  <w:marBottom w:val="0"/>
                  <w:divBdr>
                    <w:top w:val="none" w:sz="0" w:space="0" w:color="auto"/>
                    <w:left w:val="none" w:sz="0" w:space="0" w:color="auto"/>
                    <w:bottom w:val="none" w:sz="0" w:space="0" w:color="auto"/>
                    <w:right w:val="none" w:sz="0" w:space="0" w:color="auto"/>
                  </w:divBdr>
                  <w:divsChild>
                    <w:div w:id="78865626">
                      <w:marLeft w:val="0"/>
                      <w:marRight w:val="0"/>
                      <w:marTop w:val="0"/>
                      <w:marBottom w:val="0"/>
                      <w:divBdr>
                        <w:top w:val="none" w:sz="0" w:space="0" w:color="auto"/>
                        <w:left w:val="none" w:sz="0" w:space="0" w:color="auto"/>
                        <w:bottom w:val="none" w:sz="0" w:space="0" w:color="auto"/>
                        <w:right w:val="none" w:sz="0" w:space="0" w:color="auto"/>
                      </w:divBdr>
                      <w:divsChild>
                        <w:div w:id="1035930508">
                          <w:marLeft w:val="0"/>
                          <w:marRight w:val="0"/>
                          <w:marTop w:val="0"/>
                          <w:marBottom w:val="0"/>
                          <w:divBdr>
                            <w:top w:val="none" w:sz="0" w:space="0" w:color="auto"/>
                            <w:left w:val="none" w:sz="0" w:space="0" w:color="auto"/>
                            <w:bottom w:val="none" w:sz="0" w:space="0" w:color="auto"/>
                            <w:right w:val="none" w:sz="0" w:space="0" w:color="auto"/>
                          </w:divBdr>
                          <w:divsChild>
                            <w:div w:id="14076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07316">
              <w:marLeft w:val="0"/>
              <w:marRight w:val="0"/>
              <w:marTop w:val="0"/>
              <w:marBottom w:val="600"/>
              <w:divBdr>
                <w:top w:val="none" w:sz="0" w:space="0" w:color="auto"/>
                <w:left w:val="none" w:sz="0" w:space="0" w:color="auto"/>
                <w:bottom w:val="none" w:sz="0" w:space="0" w:color="auto"/>
                <w:right w:val="none" w:sz="0" w:space="0" w:color="auto"/>
              </w:divBdr>
              <w:divsChild>
                <w:div w:id="1833984863">
                  <w:marLeft w:val="0"/>
                  <w:marRight w:val="0"/>
                  <w:marTop w:val="0"/>
                  <w:marBottom w:val="0"/>
                  <w:divBdr>
                    <w:top w:val="none" w:sz="0" w:space="0" w:color="auto"/>
                    <w:left w:val="none" w:sz="0" w:space="0" w:color="auto"/>
                    <w:bottom w:val="none" w:sz="0" w:space="0" w:color="auto"/>
                    <w:right w:val="none" w:sz="0" w:space="0" w:color="auto"/>
                  </w:divBdr>
                  <w:divsChild>
                    <w:div w:id="546138359">
                      <w:marLeft w:val="0"/>
                      <w:marRight w:val="0"/>
                      <w:marTop w:val="0"/>
                      <w:marBottom w:val="0"/>
                      <w:divBdr>
                        <w:top w:val="none" w:sz="0" w:space="0" w:color="auto"/>
                        <w:left w:val="none" w:sz="0" w:space="0" w:color="auto"/>
                        <w:bottom w:val="none" w:sz="0" w:space="0" w:color="auto"/>
                        <w:right w:val="none" w:sz="0" w:space="0" w:color="auto"/>
                      </w:divBdr>
                      <w:divsChild>
                        <w:div w:id="319314117">
                          <w:marLeft w:val="0"/>
                          <w:marRight w:val="0"/>
                          <w:marTop w:val="0"/>
                          <w:marBottom w:val="0"/>
                          <w:divBdr>
                            <w:top w:val="none" w:sz="0" w:space="0" w:color="auto"/>
                            <w:left w:val="none" w:sz="0" w:space="0" w:color="auto"/>
                            <w:bottom w:val="none" w:sz="0" w:space="0" w:color="auto"/>
                            <w:right w:val="none" w:sz="0" w:space="0" w:color="auto"/>
                          </w:divBdr>
                          <w:divsChild>
                            <w:div w:id="1703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464732">
              <w:marLeft w:val="0"/>
              <w:marRight w:val="0"/>
              <w:marTop w:val="0"/>
              <w:marBottom w:val="600"/>
              <w:divBdr>
                <w:top w:val="none" w:sz="0" w:space="0" w:color="auto"/>
                <w:left w:val="none" w:sz="0" w:space="0" w:color="auto"/>
                <w:bottom w:val="none" w:sz="0" w:space="0" w:color="auto"/>
                <w:right w:val="none" w:sz="0" w:space="0" w:color="auto"/>
              </w:divBdr>
              <w:divsChild>
                <w:div w:id="854225103">
                  <w:marLeft w:val="0"/>
                  <w:marRight w:val="0"/>
                  <w:marTop w:val="0"/>
                  <w:marBottom w:val="0"/>
                  <w:divBdr>
                    <w:top w:val="none" w:sz="0" w:space="0" w:color="auto"/>
                    <w:left w:val="none" w:sz="0" w:space="0" w:color="auto"/>
                    <w:bottom w:val="none" w:sz="0" w:space="0" w:color="auto"/>
                    <w:right w:val="none" w:sz="0" w:space="0" w:color="auto"/>
                  </w:divBdr>
                  <w:divsChild>
                    <w:div w:id="249124414">
                      <w:marLeft w:val="0"/>
                      <w:marRight w:val="0"/>
                      <w:marTop w:val="0"/>
                      <w:marBottom w:val="0"/>
                      <w:divBdr>
                        <w:top w:val="none" w:sz="0" w:space="0" w:color="auto"/>
                        <w:left w:val="none" w:sz="0" w:space="0" w:color="auto"/>
                        <w:bottom w:val="none" w:sz="0" w:space="0" w:color="auto"/>
                        <w:right w:val="none" w:sz="0" w:space="0" w:color="auto"/>
                      </w:divBdr>
                      <w:divsChild>
                        <w:div w:id="1000472810">
                          <w:marLeft w:val="0"/>
                          <w:marRight w:val="0"/>
                          <w:marTop w:val="0"/>
                          <w:marBottom w:val="0"/>
                          <w:divBdr>
                            <w:top w:val="none" w:sz="0" w:space="0" w:color="auto"/>
                            <w:left w:val="none" w:sz="0" w:space="0" w:color="auto"/>
                            <w:bottom w:val="none" w:sz="0" w:space="0" w:color="auto"/>
                            <w:right w:val="none" w:sz="0" w:space="0" w:color="auto"/>
                          </w:divBdr>
                          <w:divsChild>
                            <w:div w:id="12296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96817">
              <w:marLeft w:val="0"/>
              <w:marRight w:val="0"/>
              <w:marTop w:val="0"/>
              <w:marBottom w:val="600"/>
              <w:divBdr>
                <w:top w:val="none" w:sz="0" w:space="0" w:color="auto"/>
                <w:left w:val="none" w:sz="0" w:space="0" w:color="auto"/>
                <w:bottom w:val="none" w:sz="0" w:space="0" w:color="auto"/>
                <w:right w:val="none" w:sz="0" w:space="0" w:color="auto"/>
              </w:divBdr>
              <w:divsChild>
                <w:div w:id="298338210">
                  <w:marLeft w:val="0"/>
                  <w:marRight w:val="0"/>
                  <w:marTop w:val="0"/>
                  <w:marBottom w:val="0"/>
                  <w:divBdr>
                    <w:top w:val="none" w:sz="0" w:space="0" w:color="auto"/>
                    <w:left w:val="none" w:sz="0" w:space="0" w:color="auto"/>
                    <w:bottom w:val="none" w:sz="0" w:space="0" w:color="auto"/>
                    <w:right w:val="none" w:sz="0" w:space="0" w:color="auto"/>
                  </w:divBdr>
                  <w:divsChild>
                    <w:div w:id="1415661243">
                      <w:marLeft w:val="0"/>
                      <w:marRight w:val="0"/>
                      <w:marTop w:val="0"/>
                      <w:marBottom w:val="0"/>
                      <w:divBdr>
                        <w:top w:val="none" w:sz="0" w:space="0" w:color="auto"/>
                        <w:left w:val="none" w:sz="0" w:space="0" w:color="auto"/>
                        <w:bottom w:val="none" w:sz="0" w:space="0" w:color="auto"/>
                        <w:right w:val="none" w:sz="0" w:space="0" w:color="auto"/>
                      </w:divBdr>
                      <w:divsChild>
                        <w:div w:id="1561281413">
                          <w:marLeft w:val="0"/>
                          <w:marRight w:val="0"/>
                          <w:marTop w:val="0"/>
                          <w:marBottom w:val="0"/>
                          <w:divBdr>
                            <w:top w:val="none" w:sz="0" w:space="0" w:color="auto"/>
                            <w:left w:val="none" w:sz="0" w:space="0" w:color="auto"/>
                            <w:bottom w:val="none" w:sz="0" w:space="0" w:color="auto"/>
                            <w:right w:val="none" w:sz="0" w:space="0" w:color="auto"/>
                          </w:divBdr>
                          <w:divsChild>
                            <w:div w:id="18989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55048">
              <w:marLeft w:val="0"/>
              <w:marRight w:val="0"/>
              <w:marTop w:val="0"/>
              <w:marBottom w:val="600"/>
              <w:divBdr>
                <w:top w:val="none" w:sz="0" w:space="0" w:color="auto"/>
                <w:left w:val="none" w:sz="0" w:space="0" w:color="auto"/>
                <w:bottom w:val="none" w:sz="0" w:space="0" w:color="auto"/>
                <w:right w:val="none" w:sz="0" w:space="0" w:color="auto"/>
              </w:divBdr>
              <w:divsChild>
                <w:div w:id="125901125">
                  <w:marLeft w:val="0"/>
                  <w:marRight w:val="0"/>
                  <w:marTop w:val="0"/>
                  <w:marBottom w:val="0"/>
                  <w:divBdr>
                    <w:top w:val="none" w:sz="0" w:space="0" w:color="auto"/>
                    <w:left w:val="none" w:sz="0" w:space="0" w:color="auto"/>
                    <w:bottom w:val="none" w:sz="0" w:space="0" w:color="auto"/>
                    <w:right w:val="none" w:sz="0" w:space="0" w:color="auto"/>
                  </w:divBdr>
                  <w:divsChild>
                    <w:div w:id="1976401399">
                      <w:marLeft w:val="0"/>
                      <w:marRight w:val="0"/>
                      <w:marTop w:val="0"/>
                      <w:marBottom w:val="0"/>
                      <w:divBdr>
                        <w:top w:val="none" w:sz="0" w:space="0" w:color="auto"/>
                        <w:left w:val="none" w:sz="0" w:space="0" w:color="auto"/>
                        <w:bottom w:val="none" w:sz="0" w:space="0" w:color="auto"/>
                        <w:right w:val="none" w:sz="0" w:space="0" w:color="auto"/>
                      </w:divBdr>
                      <w:divsChild>
                        <w:div w:id="739789709">
                          <w:marLeft w:val="0"/>
                          <w:marRight w:val="0"/>
                          <w:marTop w:val="0"/>
                          <w:marBottom w:val="0"/>
                          <w:divBdr>
                            <w:top w:val="none" w:sz="0" w:space="0" w:color="auto"/>
                            <w:left w:val="none" w:sz="0" w:space="0" w:color="auto"/>
                            <w:bottom w:val="none" w:sz="0" w:space="0" w:color="auto"/>
                            <w:right w:val="none" w:sz="0" w:space="0" w:color="auto"/>
                          </w:divBdr>
                          <w:divsChild>
                            <w:div w:id="11126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26830">
              <w:marLeft w:val="0"/>
              <w:marRight w:val="0"/>
              <w:marTop w:val="0"/>
              <w:marBottom w:val="600"/>
              <w:divBdr>
                <w:top w:val="none" w:sz="0" w:space="0" w:color="auto"/>
                <w:left w:val="none" w:sz="0" w:space="0" w:color="auto"/>
                <w:bottom w:val="none" w:sz="0" w:space="0" w:color="auto"/>
                <w:right w:val="none" w:sz="0" w:space="0" w:color="auto"/>
              </w:divBdr>
              <w:divsChild>
                <w:div w:id="1941179906">
                  <w:marLeft w:val="0"/>
                  <w:marRight w:val="0"/>
                  <w:marTop w:val="0"/>
                  <w:marBottom w:val="0"/>
                  <w:divBdr>
                    <w:top w:val="none" w:sz="0" w:space="0" w:color="auto"/>
                    <w:left w:val="none" w:sz="0" w:space="0" w:color="auto"/>
                    <w:bottom w:val="none" w:sz="0" w:space="0" w:color="auto"/>
                    <w:right w:val="none" w:sz="0" w:space="0" w:color="auto"/>
                  </w:divBdr>
                  <w:divsChild>
                    <w:div w:id="729547349">
                      <w:marLeft w:val="0"/>
                      <w:marRight w:val="0"/>
                      <w:marTop w:val="0"/>
                      <w:marBottom w:val="0"/>
                      <w:divBdr>
                        <w:top w:val="none" w:sz="0" w:space="0" w:color="auto"/>
                        <w:left w:val="none" w:sz="0" w:space="0" w:color="auto"/>
                        <w:bottom w:val="none" w:sz="0" w:space="0" w:color="auto"/>
                        <w:right w:val="none" w:sz="0" w:space="0" w:color="auto"/>
                      </w:divBdr>
                      <w:divsChild>
                        <w:div w:id="1516797822">
                          <w:marLeft w:val="0"/>
                          <w:marRight w:val="0"/>
                          <w:marTop w:val="0"/>
                          <w:marBottom w:val="0"/>
                          <w:divBdr>
                            <w:top w:val="none" w:sz="0" w:space="0" w:color="auto"/>
                            <w:left w:val="none" w:sz="0" w:space="0" w:color="auto"/>
                            <w:bottom w:val="none" w:sz="0" w:space="0" w:color="auto"/>
                            <w:right w:val="none" w:sz="0" w:space="0" w:color="auto"/>
                          </w:divBdr>
                          <w:divsChild>
                            <w:div w:id="4435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2324">
              <w:marLeft w:val="0"/>
              <w:marRight w:val="0"/>
              <w:marTop w:val="0"/>
              <w:marBottom w:val="600"/>
              <w:divBdr>
                <w:top w:val="none" w:sz="0" w:space="0" w:color="auto"/>
                <w:left w:val="none" w:sz="0" w:space="0" w:color="auto"/>
                <w:bottom w:val="none" w:sz="0" w:space="0" w:color="auto"/>
                <w:right w:val="none" w:sz="0" w:space="0" w:color="auto"/>
              </w:divBdr>
              <w:divsChild>
                <w:div w:id="91897932">
                  <w:marLeft w:val="0"/>
                  <w:marRight w:val="0"/>
                  <w:marTop w:val="0"/>
                  <w:marBottom w:val="0"/>
                  <w:divBdr>
                    <w:top w:val="none" w:sz="0" w:space="0" w:color="auto"/>
                    <w:left w:val="none" w:sz="0" w:space="0" w:color="auto"/>
                    <w:bottom w:val="none" w:sz="0" w:space="0" w:color="auto"/>
                    <w:right w:val="none" w:sz="0" w:space="0" w:color="auto"/>
                  </w:divBdr>
                  <w:divsChild>
                    <w:div w:id="1079063666">
                      <w:marLeft w:val="0"/>
                      <w:marRight w:val="0"/>
                      <w:marTop w:val="0"/>
                      <w:marBottom w:val="0"/>
                      <w:divBdr>
                        <w:top w:val="none" w:sz="0" w:space="0" w:color="auto"/>
                        <w:left w:val="none" w:sz="0" w:space="0" w:color="auto"/>
                        <w:bottom w:val="none" w:sz="0" w:space="0" w:color="auto"/>
                        <w:right w:val="none" w:sz="0" w:space="0" w:color="auto"/>
                      </w:divBdr>
                      <w:divsChild>
                        <w:div w:id="1306474024">
                          <w:marLeft w:val="0"/>
                          <w:marRight w:val="0"/>
                          <w:marTop w:val="0"/>
                          <w:marBottom w:val="0"/>
                          <w:divBdr>
                            <w:top w:val="none" w:sz="0" w:space="0" w:color="auto"/>
                            <w:left w:val="none" w:sz="0" w:space="0" w:color="auto"/>
                            <w:bottom w:val="none" w:sz="0" w:space="0" w:color="auto"/>
                            <w:right w:val="none" w:sz="0" w:space="0" w:color="auto"/>
                          </w:divBdr>
                          <w:divsChild>
                            <w:div w:id="15359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4051">
              <w:marLeft w:val="0"/>
              <w:marRight w:val="0"/>
              <w:marTop w:val="0"/>
              <w:marBottom w:val="600"/>
              <w:divBdr>
                <w:top w:val="none" w:sz="0" w:space="0" w:color="auto"/>
                <w:left w:val="none" w:sz="0" w:space="0" w:color="auto"/>
                <w:bottom w:val="none" w:sz="0" w:space="0" w:color="auto"/>
                <w:right w:val="none" w:sz="0" w:space="0" w:color="auto"/>
              </w:divBdr>
              <w:divsChild>
                <w:div w:id="1101029741">
                  <w:marLeft w:val="0"/>
                  <w:marRight w:val="0"/>
                  <w:marTop w:val="0"/>
                  <w:marBottom w:val="0"/>
                  <w:divBdr>
                    <w:top w:val="none" w:sz="0" w:space="0" w:color="auto"/>
                    <w:left w:val="none" w:sz="0" w:space="0" w:color="auto"/>
                    <w:bottom w:val="none" w:sz="0" w:space="0" w:color="auto"/>
                    <w:right w:val="none" w:sz="0" w:space="0" w:color="auto"/>
                  </w:divBdr>
                  <w:divsChild>
                    <w:div w:id="1201092577">
                      <w:marLeft w:val="0"/>
                      <w:marRight w:val="0"/>
                      <w:marTop w:val="0"/>
                      <w:marBottom w:val="0"/>
                      <w:divBdr>
                        <w:top w:val="none" w:sz="0" w:space="0" w:color="auto"/>
                        <w:left w:val="none" w:sz="0" w:space="0" w:color="auto"/>
                        <w:bottom w:val="none" w:sz="0" w:space="0" w:color="auto"/>
                        <w:right w:val="none" w:sz="0" w:space="0" w:color="auto"/>
                      </w:divBdr>
                      <w:divsChild>
                        <w:div w:id="126627451">
                          <w:marLeft w:val="0"/>
                          <w:marRight w:val="0"/>
                          <w:marTop w:val="0"/>
                          <w:marBottom w:val="0"/>
                          <w:divBdr>
                            <w:top w:val="none" w:sz="0" w:space="0" w:color="auto"/>
                            <w:left w:val="none" w:sz="0" w:space="0" w:color="auto"/>
                            <w:bottom w:val="none" w:sz="0" w:space="0" w:color="auto"/>
                            <w:right w:val="none" w:sz="0" w:space="0" w:color="auto"/>
                          </w:divBdr>
                          <w:divsChild>
                            <w:div w:id="19579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6531">
              <w:marLeft w:val="0"/>
              <w:marRight w:val="0"/>
              <w:marTop w:val="0"/>
              <w:marBottom w:val="600"/>
              <w:divBdr>
                <w:top w:val="none" w:sz="0" w:space="0" w:color="auto"/>
                <w:left w:val="none" w:sz="0" w:space="0" w:color="auto"/>
                <w:bottom w:val="none" w:sz="0" w:space="0" w:color="auto"/>
                <w:right w:val="none" w:sz="0" w:space="0" w:color="auto"/>
              </w:divBdr>
              <w:divsChild>
                <w:div w:id="169220786">
                  <w:marLeft w:val="0"/>
                  <w:marRight w:val="0"/>
                  <w:marTop w:val="0"/>
                  <w:marBottom w:val="0"/>
                  <w:divBdr>
                    <w:top w:val="none" w:sz="0" w:space="0" w:color="auto"/>
                    <w:left w:val="none" w:sz="0" w:space="0" w:color="auto"/>
                    <w:bottom w:val="none" w:sz="0" w:space="0" w:color="auto"/>
                    <w:right w:val="none" w:sz="0" w:space="0" w:color="auto"/>
                  </w:divBdr>
                  <w:divsChild>
                    <w:div w:id="954093130">
                      <w:marLeft w:val="0"/>
                      <w:marRight w:val="0"/>
                      <w:marTop w:val="0"/>
                      <w:marBottom w:val="0"/>
                      <w:divBdr>
                        <w:top w:val="none" w:sz="0" w:space="0" w:color="auto"/>
                        <w:left w:val="none" w:sz="0" w:space="0" w:color="auto"/>
                        <w:bottom w:val="none" w:sz="0" w:space="0" w:color="auto"/>
                        <w:right w:val="none" w:sz="0" w:space="0" w:color="auto"/>
                      </w:divBdr>
                      <w:divsChild>
                        <w:div w:id="518931505">
                          <w:marLeft w:val="0"/>
                          <w:marRight w:val="0"/>
                          <w:marTop w:val="0"/>
                          <w:marBottom w:val="0"/>
                          <w:divBdr>
                            <w:top w:val="none" w:sz="0" w:space="0" w:color="auto"/>
                            <w:left w:val="none" w:sz="0" w:space="0" w:color="auto"/>
                            <w:bottom w:val="none" w:sz="0" w:space="0" w:color="auto"/>
                            <w:right w:val="none" w:sz="0" w:space="0" w:color="auto"/>
                          </w:divBdr>
                          <w:divsChild>
                            <w:div w:id="1896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8006">
              <w:marLeft w:val="0"/>
              <w:marRight w:val="0"/>
              <w:marTop w:val="0"/>
              <w:marBottom w:val="600"/>
              <w:divBdr>
                <w:top w:val="none" w:sz="0" w:space="0" w:color="auto"/>
                <w:left w:val="none" w:sz="0" w:space="0" w:color="auto"/>
                <w:bottom w:val="none" w:sz="0" w:space="0" w:color="auto"/>
                <w:right w:val="none" w:sz="0" w:space="0" w:color="auto"/>
              </w:divBdr>
              <w:divsChild>
                <w:div w:id="1205295167">
                  <w:marLeft w:val="0"/>
                  <w:marRight w:val="0"/>
                  <w:marTop w:val="0"/>
                  <w:marBottom w:val="0"/>
                  <w:divBdr>
                    <w:top w:val="none" w:sz="0" w:space="0" w:color="auto"/>
                    <w:left w:val="none" w:sz="0" w:space="0" w:color="auto"/>
                    <w:bottom w:val="none" w:sz="0" w:space="0" w:color="auto"/>
                    <w:right w:val="none" w:sz="0" w:space="0" w:color="auto"/>
                  </w:divBdr>
                  <w:divsChild>
                    <w:div w:id="273825808">
                      <w:marLeft w:val="0"/>
                      <w:marRight w:val="0"/>
                      <w:marTop w:val="0"/>
                      <w:marBottom w:val="0"/>
                      <w:divBdr>
                        <w:top w:val="none" w:sz="0" w:space="0" w:color="auto"/>
                        <w:left w:val="none" w:sz="0" w:space="0" w:color="auto"/>
                        <w:bottom w:val="none" w:sz="0" w:space="0" w:color="auto"/>
                        <w:right w:val="none" w:sz="0" w:space="0" w:color="auto"/>
                      </w:divBdr>
                      <w:divsChild>
                        <w:div w:id="439841907">
                          <w:marLeft w:val="0"/>
                          <w:marRight w:val="0"/>
                          <w:marTop w:val="0"/>
                          <w:marBottom w:val="0"/>
                          <w:divBdr>
                            <w:top w:val="none" w:sz="0" w:space="0" w:color="auto"/>
                            <w:left w:val="none" w:sz="0" w:space="0" w:color="auto"/>
                            <w:bottom w:val="none" w:sz="0" w:space="0" w:color="auto"/>
                            <w:right w:val="none" w:sz="0" w:space="0" w:color="auto"/>
                          </w:divBdr>
                          <w:divsChild>
                            <w:div w:id="13462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79885">
              <w:marLeft w:val="0"/>
              <w:marRight w:val="0"/>
              <w:marTop w:val="0"/>
              <w:marBottom w:val="600"/>
              <w:divBdr>
                <w:top w:val="none" w:sz="0" w:space="0" w:color="auto"/>
                <w:left w:val="none" w:sz="0" w:space="0" w:color="auto"/>
                <w:bottom w:val="none" w:sz="0" w:space="0" w:color="auto"/>
                <w:right w:val="none" w:sz="0" w:space="0" w:color="auto"/>
              </w:divBdr>
              <w:divsChild>
                <w:div w:id="492256455">
                  <w:marLeft w:val="0"/>
                  <w:marRight w:val="0"/>
                  <w:marTop w:val="0"/>
                  <w:marBottom w:val="0"/>
                  <w:divBdr>
                    <w:top w:val="none" w:sz="0" w:space="0" w:color="auto"/>
                    <w:left w:val="none" w:sz="0" w:space="0" w:color="auto"/>
                    <w:bottom w:val="none" w:sz="0" w:space="0" w:color="auto"/>
                    <w:right w:val="none" w:sz="0" w:space="0" w:color="auto"/>
                  </w:divBdr>
                  <w:divsChild>
                    <w:div w:id="1538158570">
                      <w:marLeft w:val="0"/>
                      <w:marRight w:val="0"/>
                      <w:marTop w:val="0"/>
                      <w:marBottom w:val="0"/>
                      <w:divBdr>
                        <w:top w:val="none" w:sz="0" w:space="0" w:color="auto"/>
                        <w:left w:val="none" w:sz="0" w:space="0" w:color="auto"/>
                        <w:bottom w:val="none" w:sz="0" w:space="0" w:color="auto"/>
                        <w:right w:val="none" w:sz="0" w:space="0" w:color="auto"/>
                      </w:divBdr>
                      <w:divsChild>
                        <w:div w:id="917792124">
                          <w:marLeft w:val="0"/>
                          <w:marRight w:val="0"/>
                          <w:marTop w:val="0"/>
                          <w:marBottom w:val="0"/>
                          <w:divBdr>
                            <w:top w:val="none" w:sz="0" w:space="0" w:color="auto"/>
                            <w:left w:val="none" w:sz="0" w:space="0" w:color="auto"/>
                            <w:bottom w:val="none" w:sz="0" w:space="0" w:color="auto"/>
                            <w:right w:val="none" w:sz="0" w:space="0" w:color="auto"/>
                          </w:divBdr>
                          <w:divsChild>
                            <w:div w:id="204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2986">
              <w:marLeft w:val="0"/>
              <w:marRight w:val="0"/>
              <w:marTop w:val="0"/>
              <w:marBottom w:val="600"/>
              <w:divBdr>
                <w:top w:val="none" w:sz="0" w:space="0" w:color="auto"/>
                <w:left w:val="none" w:sz="0" w:space="0" w:color="auto"/>
                <w:bottom w:val="none" w:sz="0" w:space="0" w:color="auto"/>
                <w:right w:val="none" w:sz="0" w:space="0" w:color="auto"/>
              </w:divBdr>
              <w:divsChild>
                <w:div w:id="760491956">
                  <w:marLeft w:val="0"/>
                  <w:marRight w:val="0"/>
                  <w:marTop w:val="0"/>
                  <w:marBottom w:val="0"/>
                  <w:divBdr>
                    <w:top w:val="none" w:sz="0" w:space="0" w:color="auto"/>
                    <w:left w:val="none" w:sz="0" w:space="0" w:color="auto"/>
                    <w:bottom w:val="none" w:sz="0" w:space="0" w:color="auto"/>
                    <w:right w:val="none" w:sz="0" w:space="0" w:color="auto"/>
                  </w:divBdr>
                  <w:divsChild>
                    <w:div w:id="850685867">
                      <w:marLeft w:val="0"/>
                      <w:marRight w:val="0"/>
                      <w:marTop w:val="0"/>
                      <w:marBottom w:val="0"/>
                      <w:divBdr>
                        <w:top w:val="none" w:sz="0" w:space="0" w:color="auto"/>
                        <w:left w:val="none" w:sz="0" w:space="0" w:color="auto"/>
                        <w:bottom w:val="none" w:sz="0" w:space="0" w:color="auto"/>
                        <w:right w:val="none" w:sz="0" w:space="0" w:color="auto"/>
                      </w:divBdr>
                      <w:divsChild>
                        <w:div w:id="839197973">
                          <w:marLeft w:val="0"/>
                          <w:marRight w:val="0"/>
                          <w:marTop w:val="0"/>
                          <w:marBottom w:val="0"/>
                          <w:divBdr>
                            <w:top w:val="none" w:sz="0" w:space="0" w:color="auto"/>
                            <w:left w:val="none" w:sz="0" w:space="0" w:color="auto"/>
                            <w:bottom w:val="none" w:sz="0" w:space="0" w:color="auto"/>
                            <w:right w:val="none" w:sz="0" w:space="0" w:color="auto"/>
                          </w:divBdr>
                          <w:divsChild>
                            <w:div w:id="4711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5051">
              <w:marLeft w:val="0"/>
              <w:marRight w:val="0"/>
              <w:marTop w:val="0"/>
              <w:marBottom w:val="600"/>
              <w:divBdr>
                <w:top w:val="none" w:sz="0" w:space="0" w:color="auto"/>
                <w:left w:val="none" w:sz="0" w:space="0" w:color="auto"/>
                <w:bottom w:val="none" w:sz="0" w:space="0" w:color="auto"/>
                <w:right w:val="none" w:sz="0" w:space="0" w:color="auto"/>
              </w:divBdr>
              <w:divsChild>
                <w:div w:id="85001448">
                  <w:marLeft w:val="0"/>
                  <w:marRight w:val="0"/>
                  <w:marTop w:val="0"/>
                  <w:marBottom w:val="0"/>
                  <w:divBdr>
                    <w:top w:val="none" w:sz="0" w:space="0" w:color="auto"/>
                    <w:left w:val="none" w:sz="0" w:space="0" w:color="auto"/>
                    <w:bottom w:val="none" w:sz="0" w:space="0" w:color="auto"/>
                    <w:right w:val="none" w:sz="0" w:space="0" w:color="auto"/>
                  </w:divBdr>
                  <w:divsChild>
                    <w:div w:id="1747990178">
                      <w:marLeft w:val="0"/>
                      <w:marRight w:val="0"/>
                      <w:marTop w:val="0"/>
                      <w:marBottom w:val="0"/>
                      <w:divBdr>
                        <w:top w:val="none" w:sz="0" w:space="0" w:color="auto"/>
                        <w:left w:val="none" w:sz="0" w:space="0" w:color="auto"/>
                        <w:bottom w:val="none" w:sz="0" w:space="0" w:color="auto"/>
                        <w:right w:val="none" w:sz="0" w:space="0" w:color="auto"/>
                      </w:divBdr>
                      <w:divsChild>
                        <w:div w:id="2043749805">
                          <w:marLeft w:val="0"/>
                          <w:marRight w:val="0"/>
                          <w:marTop w:val="0"/>
                          <w:marBottom w:val="0"/>
                          <w:divBdr>
                            <w:top w:val="none" w:sz="0" w:space="0" w:color="auto"/>
                            <w:left w:val="none" w:sz="0" w:space="0" w:color="auto"/>
                            <w:bottom w:val="none" w:sz="0" w:space="0" w:color="auto"/>
                            <w:right w:val="none" w:sz="0" w:space="0" w:color="auto"/>
                          </w:divBdr>
                          <w:divsChild>
                            <w:div w:id="12636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j.com/content/368/bmj.l6986/rapid-respo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Mary</dc:creator>
  <cp:keywords/>
  <dc:description/>
  <cp:lastModifiedBy>S Leisher</cp:lastModifiedBy>
  <cp:revision>8</cp:revision>
  <dcterms:created xsi:type="dcterms:W3CDTF">2020-05-28T16:29:00Z</dcterms:created>
  <dcterms:modified xsi:type="dcterms:W3CDTF">2020-05-28T16:46:00Z</dcterms:modified>
</cp:coreProperties>
</file>